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hint="default" w:ascii="楷体" w:hAnsi="楷体" w:eastAsia="宋体" w:cs="楷体"/>
          <w:b/>
          <w:spacing w:val="-20"/>
          <w:sz w:val="44"/>
          <w:szCs w:val="44"/>
          <w:lang w:val="en-US" w:eastAsia="zh-CN"/>
        </w:rPr>
        <w:sectPr>
          <w:pgSz w:w="11906" w:h="16838"/>
          <w:pgMar w:top="2098" w:right="1474" w:bottom="1985" w:left="1588" w:header="851" w:footer="992" w:gutter="0"/>
          <w:cols w:space="425" w:num="1"/>
          <w:docGrid w:type="lines" w:linePitch="312" w:charSpace="0"/>
        </w:sectPr>
      </w:pPr>
      <w:r>
        <w:rPr>
          <w:b/>
          <w:spacing w:val="-20"/>
          <w:sz w:val="44"/>
          <w:szCs w:val="44"/>
        </w:rPr>
        <w:t>廊坊市</w:t>
      </w:r>
      <w:r>
        <w:rPr>
          <w:rFonts w:hint="eastAsia"/>
          <w:b/>
          <w:spacing w:val="-20"/>
          <w:sz w:val="44"/>
          <w:szCs w:val="44"/>
          <w:lang w:val="en-US" w:eastAsia="zh-CN"/>
        </w:rPr>
        <w:t>中共大厂回族自治县委直属机关工作委员会</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pacing w:val="-20"/>
          <w:sz w:val="32"/>
          <w:szCs w:val="32"/>
        </w:rPr>
      </w:pPr>
      <w:r>
        <w:rPr>
          <w:rFonts w:eastAsia="黑体"/>
          <w:sz w:val="32"/>
          <w:szCs w:val="32"/>
        </w:rPr>
        <w:t xml:space="preserve">第三部分 </w:t>
      </w:r>
      <w:r>
        <w:rPr>
          <w:rFonts w:eastAsia="黑体"/>
          <w:spacing w:val="-20"/>
          <w:sz w:val="32"/>
          <w:szCs w:val="32"/>
        </w:rPr>
        <w:t xml:space="preserve"> </w:t>
      </w:r>
      <w:r>
        <w:rPr>
          <w:rFonts w:hint="eastAsia" w:eastAsia="黑体"/>
          <w:spacing w:val="-20"/>
          <w:sz w:val="32"/>
          <w:szCs w:val="32"/>
          <w:lang w:val="en-US" w:eastAsia="zh-CN"/>
        </w:rPr>
        <w:t>中共大厂回族自治县委直属机关工作委员会</w:t>
      </w:r>
      <w:r>
        <w:rPr>
          <w:rFonts w:eastAsia="黑体"/>
          <w:spacing w:val="-20"/>
          <w:sz w:val="32"/>
          <w:szCs w:val="32"/>
        </w:rPr>
        <w:t>201</w:t>
      </w:r>
      <w:r>
        <w:rPr>
          <w:rFonts w:hint="eastAsia" w:eastAsia="黑体"/>
          <w:spacing w:val="-20"/>
          <w:sz w:val="32"/>
          <w:szCs w:val="32"/>
        </w:rPr>
        <w:t>8</w:t>
      </w:r>
      <w:r>
        <w:rPr>
          <w:rFonts w:eastAsia="黑体"/>
          <w:spacing w:val="-20"/>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rPr>
      </w:pPr>
      <w:r>
        <w:rPr>
          <w:rFonts w:hint="eastAsia" w:hAnsi="宋体" w:asciiTheme="minorEastAsia" w:eastAsiaTheme="minorEastAsia"/>
          <w:color w:val="000000" w:themeColor="text1"/>
          <w:sz w:val="96"/>
          <w:szCs w:val="96"/>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中共大厂回族自治县委直属机关工作委员会</w:t>
      </w:r>
      <w:r>
        <w:rPr>
          <w:rFonts w:hint="eastAsia" w:ascii="仿宋_GB2312" w:hAnsi="仿宋_GB2312" w:eastAsia="仿宋_GB2312" w:cs="仿宋_GB2312"/>
          <w:sz w:val="32"/>
          <w:szCs w:val="32"/>
        </w:rPr>
        <w:t>的职责是：贯彻落实党的路线方针政策和县委的指示、决议；制定县直机关党的建设规划，并督导检查落实；领导县直基层党组织，搞好党的思想建设、组织建设、作风和制度建设，做好党员教育管理工作；审批县直机关党组织设置及党务干部并按规定审批党员干部的案件；做好新党员发展培训工作；完成县委、纪委交办的工作；完成一年一度的征集新兵的工作；制定机关党风廉政建设规划，做好党员违纪案件的处理工作，抓好党风党纪党性教育。</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中共大厂回族自治县委直属机关工作委员会</w:t>
            </w:r>
          </w:p>
        </w:tc>
        <w:tc>
          <w:tcPr>
            <w:tcW w:w="2445"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行政单位</w:t>
            </w:r>
          </w:p>
        </w:tc>
        <w:tc>
          <w:tcPr>
            <w:tcW w:w="2665"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tbl>
      <w:tblPr>
        <w:tblStyle w:val="12"/>
        <w:tblW w:w="9300" w:type="dxa"/>
        <w:jc w:val="center"/>
        <w:tblInd w:w="0" w:type="dxa"/>
        <w:tblLayout w:type="fixed"/>
        <w:tblCellMar>
          <w:top w:w="0" w:type="dxa"/>
          <w:left w:w="0" w:type="dxa"/>
          <w:bottom w:w="0" w:type="dxa"/>
          <w:right w:w="0" w:type="dxa"/>
        </w:tblCellMar>
      </w:tblPr>
      <w:tblGrid>
        <w:gridCol w:w="2700"/>
        <w:gridCol w:w="567"/>
        <w:gridCol w:w="1336"/>
        <w:gridCol w:w="2700"/>
        <w:gridCol w:w="567"/>
        <w:gridCol w:w="1430"/>
      </w:tblGrid>
      <w:tr>
        <w:tblPrEx>
          <w:tblLayout w:type="fixed"/>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Layout w:type="fixed"/>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Layout w:type="fixed"/>
          <w:tblCellMar>
            <w:top w:w="0" w:type="dxa"/>
            <w:left w:w="0" w:type="dxa"/>
            <w:bottom w:w="0" w:type="dxa"/>
            <w:right w:w="0" w:type="dxa"/>
          </w:tblCellMar>
        </w:tblPrEx>
        <w:trPr>
          <w:trHeight w:val="418" w:hRule="atLeast"/>
          <w:jc w:val="center"/>
        </w:trPr>
        <w:tc>
          <w:tcPr>
            <w:tcW w:w="7303"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中共大厂回族自治县委直属机关工作委员会</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Layout w:type="fixed"/>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165.96</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17.01</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6.08</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10.20</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lang w:val="en-US" w:eastAsia="zh-CN"/>
              </w:rPr>
              <w:t>201.21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199.25</w:t>
            </w:r>
          </w:p>
        </w:tc>
      </w:tr>
      <w:tr>
        <w:tblPrEx>
          <w:tblLayout w:type="fixed"/>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1.96</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lang w:val="en-US" w:eastAsia="zh-CN"/>
              </w:rPr>
              <w:t>201.21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201.21</w:t>
            </w:r>
          </w:p>
        </w:tc>
      </w:tr>
      <w:tr>
        <w:tblPrEx>
          <w:tblLayout w:type="fixed"/>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25" w:type="dxa"/>
        <w:jc w:val="center"/>
        <w:tblInd w:w="-325" w:type="dxa"/>
        <w:tblLayout w:type="fixed"/>
        <w:tblCellMar>
          <w:top w:w="0" w:type="dxa"/>
          <w:left w:w="0" w:type="dxa"/>
          <w:bottom w:w="0" w:type="dxa"/>
          <w:right w:w="0" w:type="dxa"/>
        </w:tblCellMar>
      </w:tblPr>
      <w:tblGrid>
        <w:gridCol w:w="660"/>
        <w:gridCol w:w="179"/>
        <w:gridCol w:w="240"/>
        <w:gridCol w:w="1522"/>
        <w:gridCol w:w="609"/>
        <w:gridCol w:w="260"/>
        <w:gridCol w:w="127"/>
        <w:gridCol w:w="688"/>
        <w:gridCol w:w="311"/>
        <w:gridCol w:w="505"/>
        <w:gridCol w:w="337"/>
        <w:gridCol w:w="478"/>
        <w:gridCol w:w="442"/>
        <w:gridCol w:w="373"/>
        <w:gridCol w:w="548"/>
        <w:gridCol w:w="920"/>
        <w:gridCol w:w="926"/>
      </w:tblGrid>
      <w:tr>
        <w:tblPrEx>
          <w:tblLayout w:type="fixed"/>
          <w:tblCellMar>
            <w:top w:w="0" w:type="dxa"/>
            <w:left w:w="0" w:type="dxa"/>
            <w:bottom w:w="0" w:type="dxa"/>
            <w:right w:w="0" w:type="dxa"/>
          </w:tblCellMar>
        </w:tblPrEx>
        <w:trPr>
          <w:trHeight w:val="770" w:hRule="atLeast"/>
          <w:jc w:val="center"/>
        </w:trPr>
        <w:tc>
          <w:tcPr>
            <w:tcW w:w="9125"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Layout w:type="fixed"/>
          <w:tblCellMar>
            <w:top w:w="0" w:type="dxa"/>
            <w:left w:w="0" w:type="dxa"/>
            <w:bottom w:w="0" w:type="dxa"/>
            <w:right w:w="0" w:type="dxa"/>
          </w:tblCellMar>
        </w:tblPrEx>
        <w:trPr>
          <w:trHeight w:val="362" w:hRule="atLeast"/>
          <w:jc w:val="center"/>
        </w:trPr>
        <w:tc>
          <w:tcPr>
            <w:tcW w:w="6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2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Layout w:type="fixed"/>
          <w:tblCellMar>
            <w:top w:w="0" w:type="dxa"/>
            <w:left w:w="0" w:type="dxa"/>
            <w:bottom w:w="0" w:type="dxa"/>
            <w:right w:w="0" w:type="dxa"/>
          </w:tblCellMar>
        </w:tblPrEx>
        <w:trPr>
          <w:trHeight w:val="362" w:hRule="atLeast"/>
          <w:jc w:val="center"/>
        </w:trPr>
        <w:tc>
          <w:tcPr>
            <w:tcW w:w="6731" w:type="dxa"/>
            <w:gridSpan w:val="1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中共大厂回族自治县委直属机关工作委员会</w:t>
            </w: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5" w:hRule="atLeast"/>
          <w:jc w:val="center"/>
        </w:trPr>
        <w:tc>
          <w:tcPr>
            <w:tcW w:w="2601"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96"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99"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842"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Layout w:type="fixed"/>
          <w:tblCellMar>
            <w:top w:w="0" w:type="dxa"/>
            <w:left w:w="0" w:type="dxa"/>
            <w:bottom w:w="0" w:type="dxa"/>
            <w:right w:w="0" w:type="dxa"/>
          </w:tblCellMar>
        </w:tblPrEx>
        <w:trPr>
          <w:trHeight w:val="626"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52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96"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201.21</w:t>
            </w:r>
          </w:p>
        </w:tc>
        <w:tc>
          <w:tcPr>
            <w:tcW w:w="999"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201.21</w:t>
            </w:r>
          </w:p>
        </w:tc>
        <w:tc>
          <w:tcPr>
            <w:tcW w:w="842"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18"/>
                <w:szCs w:val="18"/>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18"/>
                <w:szCs w:val="18"/>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18"/>
                <w:szCs w:val="18"/>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18"/>
                <w:szCs w:val="18"/>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18"/>
                <w:szCs w:val="18"/>
              </w:rPr>
            </w:pPr>
          </w:p>
        </w:tc>
      </w:tr>
      <w:tr>
        <w:tblPrEx>
          <w:tblLayout w:type="fixed"/>
          <w:tblCellMar>
            <w:top w:w="0" w:type="dxa"/>
            <w:left w:w="0" w:type="dxa"/>
            <w:bottom w:w="0" w:type="dxa"/>
            <w:right w:w="0" w:type="dxa"/>
          </w:tblCellMar>
        </w:tblPrEx>
        <w:trPr>
          <w:trHeight w:val="391" w:hRule="atLeast"/>
          <w:jc w:val="center"/>
        </w:trPr>
        <w:tc>
          <w:tcPr>
            <w:tcW w:w="260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9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7</w:t>
            </w:r>
          </w:p>
        </w:tc>
      </w:tr>
      <w:tr>
        <w:tblPrEx>
          <w:tblLayout w:type="fixed"/>
          <w:tblCellMar>
            <w:top w:w="0" w:type="dxa"/>
            <w:left w:w="0" w:type="dxa"/>
            <w:bottom w:w="0" w:type="dxa"/>
            <w:right w:w="0" w:type="dxa"/>
          </w:tblCellMar>
        </w:tblPrEx>
        <w:trPr>
          <w:trHeight w:val="90" w:hRule="atLeast"/>
          <w:jc w:val="center"/>
        </w:trPr>
        <w:tc>
          <w:tcPr>
            <w:tcW w:w="260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9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c>
          <w:tcPr>
            <w:tcW w:w="99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c>
          <w:tcPr>
            <w:tcW w:w="842"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6"/>
                <w:szCs w:val="16"/>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spacing w:val="0"/>
                <w:kern w:val="0"/>
                <w:sz w:val="20"/>
                <w:szCs w:val="20"/>
                <w:lang w:val="en-US" w:eastAsia="zh-CN"/>
              </w:rPr>
            </w:pPr>
            <w:r>
              <w:rPr>
                <w:rFonts w:hint="eastAsia" w:ascii="宋体" w:hAnsi="宋体" w:cs="宋体"/>
                <w:color w:val="000000"/>
                <w:spacing w:val="0"/>
                <w:kern w:val="0"/>
                <w:sz w:val="18"/>
                <w:szCs w:val="18"/>
                <w:lang w:val="en-US" w:eastAsia="zh-CN"/>
              </w:rPr>
              <w:t>一般公共服务支出</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kern w:val="0"/>
                <w:sz w:val="18"/>
                <w:szCs w:val="18"/>
                <w:lang w:val="en-US" w:eastAsia="zh-CN"/>
              </w:rPr>
            </w:pPr>
            <w:r>
              <w:rPr>
                <w:rFonts w:hint="default" w:ascii="宋体" w:hAnsi="宋体" w:eastAsia="宋体" w:cs="宋体"/>
                <w:color w:val="000000"/>
                <w:kern w:val="0"/>
                <w:sz w:val="18"/>
                <w:szCs w:val="18"/>
                <w:lang w:val="en-US" w:eastAsia="zh-CN"/>
              </w:rPr>
              <w:t>167</w:t>
            </w:r>
            <w:r>
              <w:rPr>
                <w:rFonts w:hint="eastAsia" w:ascii="宋体" w:hAnsi="宋体" w:cs="宋体"/>
                <w:color w:val="000000"/>
                <w:kern w:val="0"/>
                <w:sz w:val="18"/>
                <w:szCs w:val="18"/>
                <w:lang w:val="en-US" w:eastAsia="zh-CN"/>
              </w:rPr>
              <w:t>.</w:t>
            </w:r>
            <w:r>
              <w:rPr>
                <w:rFonts w:hint="default" w:ascii="宋体" w:hAnsi="宋体" w:eastAsia="宋体" w:cs="宋体"/>
                <w:color w:val="000000"/>
                <w:kern w:val="0"/>
                <w:sz w:val="18"/>
                <w:szCs w:val="18"/>
                <w:lang w:val="en-US" w:eastAsia="zh-CN"/>
              </w:rPr>
              <w:t>9</w:t>
            </w:r>
            <w:r>
              <w:rPr>
                <w:rFonts w:hint="eastAsia" w:ascii="宋体" w:hAnsi="宋体" w:cs="宋体"/>
                <w:color w:val="000000"/>
                <w:kern w:val="0"/>
                <w:sz w:val="18"/>
                <w:szCs w:val="18"/>
                <w:lang w:val="en-US" w:eastAsia="zh-CN"/>
              </w:rPr>
              <w:t>2</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eastAsia="宋体" w:cs="宋体"/>
                <w:color w:val="000000"/>
                <w:kern w:val="0"/>
                <w:sz w:val="18"/>
                <w:szCs w:val="18"/>
                <w:lang w:val="en-US" w:eastAsia="zh-CN"/>
              </w:rPr>
              <w:t>167</w:t>
            </w:r>
            <w:r>
              <w:rPr>
                <w:rFonts w:hint="eastAsia" w:ascii="宋体" w:hAnsi="宋体" w:cs="宋体"/>
                <w:color w:val="000000"/>
                <w:kern w:val="0"/>
                <w:sz w:val="18"/>
                <w:szCs w:val="18"/>
                <w:lang w:val="en-US" w:eastAsia="zh-CN"/>
              </w:rPr>
              <w:t>.</w:t>
            </w:r>
            <w:r>
              <w:rPr>
                <w:rFonts w:hint="default" w:ascii="宋体" w:hAnsi="宋体" w:eastAsia="宋体" w:cs="宋体"/>
                <w:color w:val="000000"/>
                <w:kern w:val="0"/>
                <w:sz w:val="18"/>
                <w:szCs w:val="18"/>
                <w:lang w:val="en-US" w:eastAsia="zh-CN"/>
              </w:rPr>
              <w:t>9</w:t>
            </w:r>
            <w:r>
              <w:rPr>
                <w:rFonts w:hint="eastAsia" w:ascii="宋体" w:hAnsi="宋体" w:cs="宋体"/>
                <w:color w:val="000000"/>
                <w:kern w:val="0"/>
                <w:sz w:val="18"/>
                <w:szCs w:val="18"/>
                <w:lang w:val="en-US" w:eastAsia="zh-CN"/>
              </w:rPr>
              <w:t>2</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kern w:val="0"/>
                <w:sz w:val="18"/>
                <w:szCs w:val="18"/>
                <w:lang w:val="en-US" w:eastAsia="zh-CN"/>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20131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党委办公厅（室）及相关机构事务</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eastAsia="宋体" w:cs="宋体"/>
                <w:color w:val="000000"/>
                <w:kern w:val="0"/>
                <w:sz w:val="18"/>
                <w:szCs w:val="18"/>
                <w:lang w:val="en-US" w:eastAsia="zh-CN"/>
              </w:rPr>
              <w:t>167</w:t>
            </w:r>
            <w:r>
              <w:rPr>
                <w:rFonts w:hint="eastAsia" w:ascii="宋体" w:hAnsi="宋体" w:cs="宋体"/>
                <w:color w:val="000000"/>
                <w:kern w:val="0"/>
                <w:sz w:val="18"/>
                <w:szCs w:val="18"/>
                <w:lang w:val="en-US" w:eastAsia="zh-CN"/>
              </w:rPr>
              <w:t>.</w:t>
            </w:r>
            <w:r>
              <w:rPr>
                <w:rFonts w:hint="default" w:ascii="宋体" w:hAnsi="宋体" w:eastAsia="宋体" w:cs="宋体"/>
                <w:color w:val="000000"/>
                <w:kern w:val="0"/>
                <w:sz w:val="18"/>
                <w:szCs w:val="18"/>
                <w:lang w:val="en-US" w:eastAsia="zh-CN"/>
              </w:rPr>
              <w:t>9</w:t>
            </w:r>
            <w:r>
              <w:rPr>
                <w:rFonts w:hint="eastAsia" w:ascii="宋体" w:hAnsi="宋体" w:cs="宋体"/>
                <w:color w:val="000000"/>
                <w:kern w:val="0"/>
                <w:sz w:val="18"/>
                <w:szCs w:val="18"/>
                <w:lang w:val="en-US" w:eastAsia="zh-CN"/>
              </w:rPr>
              <w:t>2</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eastAsia="宋体" w:cs="宋体"/>
                <w:color w:val="000000"/>
                <w:kern w:val="0"/>
                <w:sz w:val="18"/>
                <w:szCs w:val="18"/>
                <w:lang w:val="en-US" w:eastAsia="zh-CN"/>
              </w:rPr>
              <w:t>167</w:t>
            </w:r>
            <w:r>
              <w:rPr>
                <w:rFonts w:hint="eastAsia" w:ascii="宋体" w:hAnsi="宋体" w:cs="宋体"/>
                <w:color w:val="000000"/>
                <w:kern w:val="0"/>
                <w:sz w:val="18"/>
                <w:szCs w:val="18"/>
                <w:lang w:val="en-US" w:eastAsia="zh-CN"/>
              </w:rPr>
              <w:t>.</w:t>
            </w:r>
            <w:r>
              <w:rPr>
                <w:rFonts w:hint="default" w:ascii="宋体" w:hAnsi="宋体" w:eastAsia="宋体" w:cs="宋体"/>
                <w:color w:val="000000"/>
                <w:kern w:val="0"/>
                <w:sz w:val="18"/>
                <w:szCs w:val="18"/>
                <w:lang w:val="en-US" w:eastAsia="zh-CN"/>
              </w:rPr>
              <w:t>9</w:t>
            </w:r>
            <w:r>
              <w:rPr>
                <w:rFonts w:hint="eastAsia" w:ascii="宋体" w:hAnsi="宋体" w:cs="宋体"/>
                <w:color w:val="000000"/>
                <w:kern w:val="0"/>
                <w:sz w:val="18"/>
                <w:szCs w:val="18"/>
                <w:lang w:val="en-US" w:eastAsia="zh-CN"/>
              </w:rPr>
              <w:t>2</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2013101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spacing w:val="0"/>
                <w:kern w:val="0"/>
                <w:sz w:val="20"/>
                <w:szCs w:val="20"/>
                <w:lang w:val="en-US" w:eastAsia="zh-CN"/>
              </w:rPr>
            </w:pPr>
            <w:r>
              <w:rPr>
                <w:rFonts w:hint="eastAsia" w:ascii="宋体" w:hAnsi="宋体" w:cs="宋体"/>
                <w:color w:val="000000"/>
                <w:spacing w:val="0"/>
                <w:kern w:val="0"/>
                <w:sz w:val="20"/>
                <w:szCs w:val="20"/>
                <w:lang w:val="en-US" w:eastAsia="zh-CN"/>
              </w:rPr>
              <w:t>行政运行</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eastAsia="宋体" w:cs="宋体"/>
                <w:color w:val="000000"/>
                <w:kern w:val="0"/>
                <w:sz w:val="18"/>
                <w:szCs w:val="18"/>
                <w:lang w:val="en-US" w:eastAsia="zh-CN"/>
              </w:rPr>
              <w:t>16</w:t>
            </w:r>
            <w:r>
              <w:rPr>
                <w:rFonts w:hint="eastAsia" w:ascii="宋体" w:hAnsi="宋体" w:cs="宋体"/>
                <w:color w:val="000000"/>
                <w:kern w:val="0"/>
                <w:sz w:val="18"/>
                <w:szCs w:val="18"/>
                <w:lang w:val="en-US" w:eastAsia="zh-CN"/>
              </w:rPr>
              <w:t>0.</w:t>
            </w:r>
            <w:r>
              <w:rPr>
                <w:rFonts w:hint="default" w:ascii="宋体" w:hAnsi="宋体" w:eastAsia="宋体" w:cs="宋体"/>
                <w:color w:val="000000"/>
                <w:kern w:val="0"/>
                <w:sz w:val="18"/>
                <w:szCs w:val="18"/>
                <w:lang w:val="en-US" w:eastAsia="zh-CN"/>
              </w:rPr>
              <w:t>9</w:t>
            </w:r>
            <w:r>
              <w:rPr>
                <w:rFonts w:hint="eastAsia" w:ascii="宋体" w:hAnsi="宋体" w:cs="宋体"/>
                <w:color w:val="000000"/>
                <w:kern w:val="0"/>
                <w:sz w:val="18"/>
                <w:szCs w:val="18"/>
                <w:lang w:val="en-US" w:eastAsia="zh-CN"/>
              </w:rPr>
              <w:t>2</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eastAsia="宋体" w:cs="宋体"/>
                <w:color w:val="000000"/>
                <w:kern w:val="0"/>
                <w:sz w:val="18"/>
                <w:szCs w:val="18"/>
                <w:lang w:val="en-US" w:eastAsia="zh-CN"/>
              </w:rPr>
              <w:t>16</w:t>
            </w:r>
            <w:r>
              <w:rPr>
                <w:rFonts w:hint="eastAsia" w:ascii="宋体" w:hAnsi="宋体" w:cs="宋体"/>
                <w:color w:val="000000"/>
                <w:kern w:val="0"/>
                <w:sz w:val="18"/>
                <w:szCs w:val="18"/>
                <w:lang w:val="en-US" w:eastAsia="zh-CN"/>
              </w:rPr>
              <w:t>0.</w:t>
            </w:r>
            <w:r>
              <w:rPr>
                <w:rFonts w:hint="default" w:ascii="宋体" w:hAnsi="宋体" w:eastAsia="宋体" w:cs="宋体"/>
                <w:color w:val="000000"/>
                <w:kern w:val="0"/>
                <w:sz w:val="18"/>
                <w:szCs w:val="18"/>
                <w:lang w:val="en-US" w:eastAsia="zh-CN"/>
              </w:rPr>
              <w:t>9</w:t>
            </w:r>
            <w:r>
              <w:rPr>
                <w:rFonts w:hint="eastAsia" w:ascii="宋体" w:hAnsi="宋体" w:cs="宋体"/>
                <w:color w:val="000000"/>
                <w:kern w:val="0"/>
                <w:sz w:val="18"/>
                <w:szCs w:val="18"/>
                <w:lang w:val="en-US" w:eastAsia="zh-CN"/>
              </w:rPr>
              <w:t>2</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2013105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专项业务</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00</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00</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208</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社会保障和就业支出</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w:t>
            </w:r>
            <w:r>
              <w:rPr>
                <w:rFonts w:hint="eastAsia" w:ascii="宋体" w:hAnsi="宋体" w:cs="宋体"/>
                <w:color w:val="000000"/>
                <w:kern w:val="0"/>
                <w:sz w:val="18"/>
                <w:szCs w:val="18"/>
                <w:lang w:val="en-US" w:eastAsia="zh-CN"/>
              </w:rPr>
              <w:t>1</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w:t>
            </w:r>
            <w:r>
              <w:rPr>
                <w:rFonts w:hint="eastAsia" w:ascii="宋体" w:hAnsi="宋体" w:cs="宋体"/>
                <w:color w:val="000000"/>
                <w:kern w:val="0"/>
                <w:sz w:val="18"/>
                <w:szCs w:val="18"/>
                <w:lang w:val="en-US" w:eastAsia="zh-CN"/>
              </w:rPr>
              <w:t>1</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20805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行政事业单位离退休</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w:t>
            </w:r>
            <w:r>
              <w:rPr>
                <w:rFonts w:hint="eastAsia" w:ascii="宋体" w:hAnsi="宋体" w:cs="宋体"/>
                <w:color w:val="000000"/>
                <w:kern w:val="0"/>
                <w:sz w:val="18"/>
                <w:szCs w:val="18"/>
                <w:lang w:val="en-US" w:eastAsia="zh-CN"/>
              </w:rPr>
              <w:t>1</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w:t>
            </w:r>
            <w:r>
              <w:rPr>
                <w:rFonts w:hint="eastAsia" w:ascii="宋体" w:hAnsi="宋体" w:cs="宋体"/>
                <w:color w:val="000000"/>
                <w:kern w:val="0"/>
                <w:sz w:val="18"/>
                <w:szCs w:val="18"/>
                <w:lang w:val="en-US" w:eastAsia="zh-CN"/>
              </w:rPr>
              <w:t>1</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2080505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机关事业单位基本养老保险缴费支出</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w:t>
            </w:r>
            <w:r>
              <w:rPr>
                <w:rFonts w:hint="eastAsia" w:ascii="宋体" w:hAnsi="宋体" w:cs="宋体"/>
                <w:color w:val="000000"/>
                <w:kern w:val="0"/>
                <w:sz w:val="18"/>
                <w:szCs w:val="18"/>
                <w:lang w:val="en-US" w:eastAsia="zh-CN"/>
              </w:rPr>
              <w:t>1</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17</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w:t>
            </w:r>
            <w:r>
              <w:rPr>
                <w:rFonts w:hint="eastAsia" w:ascii="宋体" w:hAnsi="宋体" w:cs="宋体"/>
                <w:color w:val="000000"/>
                <w:kern w:val="0"/>
                <w:sz w:val="18"/>
                <w:szCs w:val="18"/>
                <w:lang w:val="en-US" w:eastAsia="zh-CN"/>
              </w:rPr>
              <w:t>1</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210</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医疗卫生与计划生育支出</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08</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08</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21011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行政事业单位医疗</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08</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08</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2101101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r>
              <w:rPr>
                <w:rFonts w:hint="eastAsia" w:ascii="宋体" w:hAnsi="宋体" w:cs="宋体"/>
                <w:color w:val="000000"/>
                <w:spacing w:val="0"/>
                <w:kern w:val="0"/>
                <w:sz w:val="20"/>
                <w:szCs w:val="20"/>
              </w:rPr>
              <w:t xml:space="preserve"> 行政单位医疗</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08</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08</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221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spacing w:val="0"/>
                <w:kern w:val="0"/>
                <w:sz w:val="20"/>
                <w:szCs w:val="20"/>
                <w:lang w:val="en-US" w:eastAsia="zh-CN"/>
              </w:rPr>
            </w:pPr>
            <w:r>
              <w:rPr>
                <w:rFonts w:hint="eastAsia" w:ascii="宋体" w:hAnsi="宋体" w:cs="宋体"/>
                <w:color w:val="000000"/>
                <w:spacing w:val="0"/>
                <w:kern w:val="0"/>
                <w:sz w:val="20"/>
                <w:szCs w:val="20"/>
                <w:lang w:val="en-US" w:eastAsia="zh-CN"/>
              </w:rPr>
              <w:t>住房保障支出</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20</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20</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22102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spacing w:val="0"/>
                <w:kern w:val="0"/>
                <w:sz w:val="20"/>
                <w:szCs w:val="20"/>
                <w:lang w:val="en-US" w:eastAsia="zh-CN"/>
              </w:rPr>
            </w:pPr>
            <w:r>
              <w:rPr>
                <w:rFonts w:hint="eastAsia" w:ascii="宋体" w:hAnsi="宋体" w:cs="宋体"/>
                <w:color w:val="000000"/>
                <w:spacing w:val="0"/>
                <w:kern w:val="0"/>
                <w:sz w:val="20"/>
                <w:szCs w:val="20"/>
                <w:lang w:val="en-US" w:eastAsia="zh-CN"/>
              </w:rPr>
              <w:t>住房改革支出</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20</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20</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2210201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spacing w:val="0"/>
                <w:kern w:val="0"/>
                <w:sz w:val="20"/>
                <w:szCs w:val="20"/>
                <w:lang w:val="en-US" w:eastAsia="zh-CN"/>
              </w:rPr>
            </w:pPr>
            <w:r>
              <w:rPr>
                <w:rFonts w:hint="eastAsia" w:ascii="宋体" w:hAnsi="宋体" w:cs="宋体"/>
                <w:color w:val="000000"/>
                <w:spacing w:val="0"/>
                <w:kern w:val="0"/>
                <w:sz w:val="20"/>
                <w:szCs w:val="20"/>
                <w:lang w:val="en-US" w:eastAsia="zh-CN"/>
              </w:rPr>
              <w:t>住房公积金</w:t>
            </w: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20</w:t>
            </w: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20</w:t>
            </w: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p>
        </w:tc>
      </w:tr>
      <w:tr>
        <w:tblPrEx>
          <w:tblLayout w:type="fixed"/>
          <w:tblCellMar>
            <w:top w:w="0" w:type="dxa"/>
            <w:left w:w="0" w:type="dxa"/>
            <w:bottom w:w="0" w:type="dxa"/>
            <w:right w:w="0" w:type="dxa"/>
          </w:tblCellMar>
        </w:tblPrEx>
        <w:trPr>
          <w:trHeight w:val="371" w:hRule="atLeast"/>
          <w:jc w:val="center"/>
        </w:trPr>
        <w:tc>
          <w:tcPr>
            <w:tcW w:w="107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spacing w:val="0"/>
                <w:kern w:val="0"/>
                <w:sz w:val="20"/>
                <w:szCs w:val="20"/>
              </w:rPr>
            </w:pPr>
          </w:p>
        </w:tc>
        <w:tc>
          <w:tcPr>
            <w:tcW w:w="9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9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8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20"/>
                <w:szCs w:val="20"/>
              </w:rPr>
            </w:pPr>
          </w:p>
        </w:tc>
      </w:tr>
      <w:tr>
        <w:tblPrEx>
          <w:tblLayout w:type="fixed"/>
          <w:tblCellMar>
            <w:top w:w="0" w:type="dxa"/>
            <w:left w:w="0" w:type="dxa"/>
            <w:bottom w:w="0" w:type="dxa"/>
            <w:right w:w="0" w:type="dxa"/>
          </w:tblCellMar>
        </w:tblPrEx>
        <w:trPr>
          <w:trHeight w:val="481" w:hRule="atLeast"/>
          <w:jc w:val="center"/>
        </w:trPr>
        <w:tc>
          <w:tcPr>
            <w:tcW w:w="9125"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20" w:type="dxa"/>
        <w:tblInd w:w="-120" w:type="dxa"/>
        <w:tblLayout w:type="fixed"/>
        <w:tblCellMar>
          <w:top w:w="0" w:type="dxa"/>
          <w:left w:w="0" w:type="dxa"/>
          <w:bottom w:w="0" w:type="dxa"/>
          <w:right w:w="0" w:type="dxa"/>
        </w:tblCellMar>
      </w:tblPr>
      <w:tblGrid>
        <w:gridCol w:w="410"/>
        <w:gridCol w:w="289"/>
        <w:gridCol w:w="306"/>
        <w:gridCol w:w="1665"/>
        <w:gridCol w:w="596"/>
        <w:gridCol w:w="436"/>
        <w:gridCol w:w="682"/>
        <w:gridCol w:w="402"/>
        <w:gridCol w:w="718"/>
        <w:gridCol w:w="365"/>
        <w:gridCol w:w="753"/>
        <w:gridCol w:w="331"/>
        <w:gridCol w:w="789"/>
        <w:gridCol w:w="294"/>
        <w:gridCol w:w="1084"/>
      </w:tblGrid>
      <w:tr>
        <w:tblPrEx>
          <w:tblLayout w:type="fixed"/>
          <w:tblCellMar>
            <w:top w:w="0" w:type="dxa"/>
            <w:left w:w="0" w:type="dxa"/>
            <w:bottom w:w="0" w:type="dxa"/>
            <w:right w:w="0" w:type="dxa"/>
          </w:tblCellMar>
        </w:tblPrEx>
        <w:trPr>
          <w:trHeight w:val="798" w:hRule="atLeast"/>
        </w:trPr>
        <w:tc>
          <w:tcPr>
            <w:tcW w:w="912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Layout w:type="fixed"/>
          <w:tblCellMar>
            <w:top w:w="0" w:type="dxa"/>
            <w:left w:w="0" w:type="dxa"/>
            <w:bottom w:w="0" w:type="dxa"/>
            <w:right w:w="0" w:type="dxa"/>
          </w:tblCellMar>
        </w:tblPrEx>
        <w:trPr>
          <w:trHeight w:val="404" w:hRule="atLeast"/>
        </w:trPr>
        <w:tc>
          <w:tcPr>
            <w:tcW w:w="41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6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9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Layout w:type="fixed"/>
          <w:tblCellMar>
            <w:top w:w="0" w:type="dxa"/>
            <w:left w:w="0" w:type="dxa"/>
            <w:bottom w:w="0" w:type="dxa"/>
            <w:right w:w="0" w:type="dxa"/>
          </w:tblCellMar>
        </w:tblPrEx>
        <w:trPr>
          <w:trHeight w:val="380" w:hRule="atLeast"/>
        </w:trPr>
        <w:tc>
          <w:tcPr>
            <w:tcW w:w="6622"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中共大厂回族自治县委直属机关工作委员会</w:t>
            </w: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837" w:hRule="atLeast"/>
        </w:trPr>
        <w:tc>
          <w:tcPr>
            <w:tcW w:w="267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3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Layout w:type="fixed"/>
          <w:tblCellMar>
            <w:top w:w="0" w:type="dxa"/>
            <w:left w:w="0" w:type="dxa"/>
            <w:bottom w:w="0" w:type="dxa"/>
            <w:right w:w="0" w:type="dxa"/>
          </w:tblCellMar>
        </w:tblPrEx>
        <w:trPr>
          <w:trHeight w:val="782" w:hRule="atLeast"/>
        </w:trPr>
        <w:tc>
          <w:tcPr>
            <w:tcW w:w="100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32"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199.25</w:t>
            </w: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199.25</w:t>
            </w: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7.00</w:t>
            </w: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r>
      <w:tr>
        <w:tblPrEx>
          <w:tblLayout w:type="fixed"/>
          <w:tblCellMar>
            <w:top w:w="0" w:type="dxa"/>
            <w:left w:w="0" w:type="dxa"/>
            <w:bottom w:w="0" w:type="dxa"/>
            <w:right w:w="0" w:type="dxa"/>
          </w:tblCellMar>
        </w:tblPrEx>
        <w:trPr>
          <w:trHeight w:val="395" w:hRule="atLeast"/>
        </w:trPr>
        <w:tc>
          <w:tcPr>
            <w:tcW w:w="267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3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95" w:hRule="atLeast"/>
        </w:trPr>
        <w:tc>
          <w:tcPr>
            <w:tcW w:w="267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pacing w:val="0"/>
                <w:kern w:val="0"/>
                <w:sz w:val="18"/>
                <w:szCs w:val="18"/>
                <w:lang w:val="en-US" w:eastAsia="zh-CN"/>
              </w:rPr>
              <w:t>一般公共服务支出</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165.96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158.96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20131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党委办公厅(室)及相关机构事务</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165.96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158.96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2013101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行政运行</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158.96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158.96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2013105</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专项业务</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208</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社会保障和就业支出</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17.01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17.01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rPr>
              <w:t>20805</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lang w:val="en-US" w:eastAsia="zh-CN"/>
              </w:rPr>
              <w:t>行政</w:t>
            </w:r>
            <w:r>
              <w:rPr>
                <w:rFonts w:hint="eastAsia" w:ascii="宋体" w:hAnsi="宋体" w:cs="宋体"/>
                <w:color w:val="000000"/>
                <w:spacing w:val="0"/>
                <w:kern w:val="0"/>
                <w:sz w:val="20"/>
                <w:szCs w:val="20"/>
              </w:rPr>
              <w:t>事业单位离退休</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sz w:val="18"/>
                <w:szCs w:val="18"/>
                <w:lang w:val="en-US" w:eastAsia="zh-CN"/>
              </w:rPr>
              <w:t>17.01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sz w:val="18"/>
                <w:szCs w:val="18"/>
                <w:lang w:val="en-US" w:eastAsia="zh-CN"/>
              </w:rPr>
              <w:t>17.01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831"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2080505</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rPr>
              <w:t>机关事业单位基本养老保险缴费支出</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sz w:val="18"/>
                <w:szCs w:val="18"/>
                <w:lang w:val="en-US" w:eastAsia="zh-CN"/>
              </w:rPr>
              <w:t>17.01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sz w:val="18"/>
                <w:szCs w:val="18"/>
                <w:lang w:val="en-US" w:eastAsia="zh-CN"/>
              </w:rPr>
              <w:t>17.01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210</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rPr>
              <w:t>医疗卫生与计划生育支出</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val="en-US" w:eastAsia="zh-CN"/>
              </w:rPr>
              <w:t>6.08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val="en-US" w:eastAsia="zh-CN"/>
              </w:rPr>
              <w:t>6.08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21011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rPr>
              <w:t>行政事业单位医疗</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val="en-US" w:eastAsia="zh-CN"/>
              </w:rPr>
              <w:t>6.08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val="en-US" w:eastAsia="zh-CN"/>
              </w:rPr>
              <w:t>6.08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2101101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rPr>
              <w:t xml:space="preserve"> 行政单位医疗</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val="en-US" w:eastAsia="zh-CN"/>
              </w:rPr>
              <w:t>6.08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val="en-US" w:eastAsia="zh-CN"/>
              </w:rPr>
              <w:t>6.08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221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lang w:val="en-US" w:eastAsia="zh-CN"/>
              </w:rPr>
              <w:t>住房保障支出</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sz w:val="18"/>
                <w:szCs w:val="18"/>
              </w:rPr>
              <w:t>10</w:t>
            </w:r>
            <w:r>
              <w:rPr>
                <w:rFonts w:hint="eastAsia"/>
                <w:sz w:val="18"/>
                <w:szCs w:val="18"/>
                <w:lang w:val="en-US" w:eastAsia="zh-CN"/>
              </w:rPr>
              <w:t>.</w:t>
            </w:r>
            <w:r>
              <w:rPr>
                <w:rFonts w:hint="eastAsia"/>
                <w:sz w:val="18"/>
                <w:szCs w:val="18"/>
              </w:rPr>
              <w:t>20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sz w:val="18"/>
                <w:szCs w:val="18"/>
              </w:rPr>
              <w:t>10</w:t>
            </w:r>
            <w:r>
              <w:rPr>
                <w:rFonts w:hint="eastAsia"/>
                <w:sz w:val="18"/>
                <w:szCs w:val="18"/>
                <w:lang w:val="en-US" w:eastAsia="zh-CN"/>
              </w:rPr>
              <w:t>.</w:t>
            </w:r>
            <w:r>
              <w:rPr>
                <w:rFonts w:hint="eastAsia"/>
                <w:sz w:val="18"/>
                <w:szCs w:val="18"/>
              </w:rPr>
              <w:t>20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22102</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lang w:val="en-US" w:eastAsia="zh-CN"/>
              </w:rPr>
              <w:t>住房改革支出</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sz w:val="18"/>
                <w:szCs w:val="18"/>
              </w:rPr>
              <w:t>10</w:t>
            </w:r>
            <w:r>
              <w:rPr>
                <w:rFonts w:hint="eastAsia"/>
                <w:sz w:val="18"/>
                <w:szCs w:val="18"/>
                <w:lang w:val="en-US" w:eastAsia="zh-CN"/>
              </w:rPr>
              <w:t>.</w:t>
            </w:r>
            <w:r>
              <w:rPr>
                <w:rFonts w:hint="eastAsia"/>
                <w:sz w:val="18"/>
                <w:szCs w:val="18"/>
              </w:rPr>
              <w:t>20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sz w:val="18"/>
                <w:szCs w:val="18"/>
              </w:rPr>
              <w:t>10</w:t>
            </w:r>
            <w:r>
              <w:rPr>
                <w:rFonts w:hint="eastAsia"/>
                <w:sz w:val="18"/>
                <w:szCs w:val="18"/>
                <w:lang w:val="en-US" w:eastAsia="zh-CN"/>
              </w:rPr>
              <w:t>.</w:t>
            </w:r>
            <w:r>
              <w:rPr>
                <w:rFonts w:hint="eastAsia"/>
                <w:sz w:val="18"/>
                <w:szCs w:val="18"/>
              </w:rPr>
              <w:t>20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468" w:hRule="atLeast"/>
        </w:trPr>
        <w:tc>
          <w:tcPr>
            <w:tcW w:w="10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2210201</w:t>
            </w:r>
          </w:p>
        </w:tc>
        <w:tc>
          <w:tcPr>
            <w:tcW w:w="16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spacing w:val="0"/>
                <w:kern w:val="0"/>
                <w:sz w:val="20"/>
                <w:szCs w:val="20"/>
                <w:lang w:val="en-US" w:eastAsia="zh-CN"/>
              </w:rPr>
              <w:t>住房公积金</w:t>
            </w:r>
          </w:p>
        </w:tc>
        <w:tc>
          <w:tcPr>
            <w:tcW w:w="10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sz w:val="18"/>
                <w:szCs w:val="18"/>
              </w:rPr>
              <w:t>10</w:t>
            </w:r>
            <w:r>
              <w:rPr>
                <w:rFonts w:hint="eastAsia"/>
                <w:sz w:val="18"/>
                <w:szCs w:val="18"/>
                <w:lang w:val="en-US" w:eastAsia="zh-CN"/>
              </w:rPr>
              <w:t>.</w:t>
            </w:r>
            <w:r>
              <w:rPr>
                <w:rFonts w:hint="eastAsia"/>
                <w:sz w:val="18"/>
                <w:szCs w:val="18"/>
              </w:rPr>
              <w:t>20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sz w:val="18"/>
                <w:szCs w:val="18"/>
              </w:rPr>
              <w:t>10</w:t>
            </w:r>
            <w:r>
              <w:rPr>
                <w:rFonts w:hint="eastAsia"/>
                <w:sz w:val="18"/>
                <w:szCs w:val="18"/>
                <w:lang w:val="en-US" w:eastAsia="zh-CN"/>
              </w:rPr>
              <w:t>.</w:t>
            </w:r>
            <w:r>
              <w:rPr>
                <w:rFonts w:hint="eastAsia"/>
                <w:sz w:val="18"/>
                <w:szCs w:val="18"/>
              </w:rPr>
              <w:t>20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748" w:hRule="atLeast"/>
        </w:trPr>
        <w:tc>
          <w:tcPr>
            <w:tcW w:w="912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15" w:type="dxa"/>
        <w:tblInd w:w="0" w:type="dxa"/>
        <w:tblLayout w:type="fixed"/>
        <w:tblCellMar>
          <w:top w:w="0" w:type="dxa"/>
          <w:left w:w="0" w:type="dxa"/>
          <w:bottom w:w="0" w:type="dxa"/>
          <w:right w:w="0" w:type="dxa"/>
        </w:tblCellMar>
      </w:tblPr>
      <w:tblGrid>
        <w:gridCol w:w="1717"/>
        <w:gridCol w:w="745"/>
        <w:gridCol w:w="325"/>
        <w:gridCol w:w="963"/>
        <w:gridCol w:w="2011"/>
        <w:gridCol w:w="191"/>
        <w:gridCol w:w="360"/>
        <w:gridCol w:w="650"/>
        <w:gridCol w:w="283"/>
        <w:gridCol w:w="542"/>
        <w:gridCol w:w="403"/>
        <w:gridCol w:w="825"/>
      </w:tblGrid>
      <w:tr>
        <w:tblPrEx>
          <w:tblLayout w:type="fixed"/>
          <w:tblCellMar>
            <w:top w:w="0" w:type="dxa"/>
            <w:left w:w="0" w:type="dxa"/>
            <w:bottom w:w="0" w:type="dxa"/>
            <w:right w:w="0" w:type="dxa"/>
          </w:tblCellMar>
        </w:tblPrEx>
        <w:trPr>
          <w:trHeight w:val="152" w:hRule="atLeast"/>
        </w:trPr>
        <w:tc>
          <w:tcPr>
            <w:tcW w:w="9015"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Layout w:type="fixed"/>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22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Layout w:type="fixed"/>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中共大厂回族自治县委直属机关工作委员会</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053"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228"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Layout w:type="fixed"/>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9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20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201.21</w:t>
            </w: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165.96</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165.96</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17.01</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17.01</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6.08</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6.08</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10.20</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10.20</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201.21</w:t>
            </w: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199.25</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199.25</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1.96</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1.96</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9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201.21</w:t>
            </w:r>
          </w:p>
        </w:tc>
        <w:tc>
          <w:tcPr>
            <w:tcW w:w="220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9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201.21</w:t>
            </w:r>
          </w:p>
        </w:tc>
        <w:tc>
          <w:tcPr>
            <w:tcW w:w="9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201.21</w:t>
            </w:r>
          </w:p>
        </w:tc>
        <w:tc>
          <w:tcPr>
            <w:tcW w:w="8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p>
        </w:tc>
      </w:tr>
      <w:tr>
        <w:tblPrEx>
          <w:tblLayout w:type="fixed"/>
          <w:tblCellMar>
            <w:top w:w="0" w:type="dxa"/>
            <w:left w:w="0" w:type="dxa"/>
            <w:bottom w:w="0" w:type="dxa"/>
            <w:right w:w="0" w:type="dxa"/>
          </w:tblCellMar>
        </w:tblPrEx>
        <w:trPr>
          <w:trHeight w:val="155" w:hRule="atLeast"/>
        </w:trPr>
        <w:tc>
          <w:tcPr>
            <w:tcW w:w="9015"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Layout w:type="fixed"/>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Layout w:type="fixed"/>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Layout w:type="fixed"/>
          <w:tblCellMar>
            <w:top w:w="0" w:type="dxa"/>
            <w:left w:w="0" w:type="dxa"/>
            <w:bottom w:w="0" w:type="dxa"/>
            <w:right w:w="0" w:type="dxa"/>
          </w:tblCellMar>
        </w:tblPrEx>
        <w:trPr>
          <w:trHeight w:val="334" w:hRule="atLeast"/>
        </w:trPr>
        <w:tc>
          <w:tcPr>
            <w:tcW w:w="5739"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中共大厂回族自治县委直属机关工作委员会</w:t>
            </w: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Layout w:type="fixed"/>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Layout w:type="fixed"/>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Layout w:type="fixed"/>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199.25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199.25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7.00</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pacing w:val="0"/>
                <w:kern w:val="0"/>
                <w:sz w:val="18"/>
                <w:szCs w:val="18"/>
                <w:lang w:val="en-US" w:eastAsia="zh-CN"/>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165.96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158.96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20131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党委办公厅(室)及相关击机构事务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165.96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158.96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2013101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158.96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158.96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2013105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专项业务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 xml:space="preserve"> 7.00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lang w:val="en-US"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17.01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17.01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lang w:val="en-US" w:eastAsia="zh-CN"/>
              </w:rPr>
              <w:t>行政</w:t>
            </w:r>
            <w:r>
              <w:rPr>
                <w:rFonts w:hint="eastAsia" w:ascii="宋体" w:hAnsi="宋体" w:cs="宋体"/>
                <w:color w:val="000000"/>
                <w:spacing w:val="0"/>
                <w:kern w:val="0"/>
                <w:sz w:val="20"/>
                <w:szCs w:val="20"/>
              </w:rPr>
              <w:t>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17.01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17.01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17.01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17.01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rPr>
              <w:t xml:space="preserve"> 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lang w:val="en-US" w:eastAsia="zh-CN"/>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10.20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lang w:val="en-US" w:eastAsia="zh-CN"/>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10.20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lang w:val="en-US" w:eastAsia="zh-CN"/>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spacing w:val="0"/>
                <w:kern w:val="0"/>
                <w:sz w:val="20"/>
                <w:szCs w:val="20"/>
                <w:lang w:val="en-US" w:eastAsia="zh-CN"/>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10.20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10.20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Ind w:w="0" w:type="dxa"/>
        <w:tblLayout w:type="fixed"/>
        <w:tblCellMar>
          <w:top w:w="0" w:type="dxa"/>
          <w:left w:w="0" w:type="dxa"/>
          <w:bottom w:w="0" w:type="dxa"/>
          <w:right w:w="0" w:type="dxa"/>
        </w:tblCellMar>
      </w:tblPr>
      <w:tblGrid>
        <w:gridCol w:w="558"/>
        <w:gridCol w:w="1470"/>
        <w:gridCol w:w="967"/>
        <w:gridCol w:w="477"/>
        <w:gridCol w:w="1646"/>
        <w:gridCol w:w="857"/>
        <w:gridCol w:w="560"/>
        <w:gridCol w:w="1613"/>
        <w:gridCol w:w="1032"/>
      </w:tblGrid>
      <w:tr>
        <w:tblPrEx>
          <w:tblLayout w:type="fixed"/>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Layout w:type="fixed"/>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47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9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4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Layout w:type="fixed"/>
          <w:tblCellMar>
            <w:top w:w="0" w:type="dxa"/>
            <w:left w:w="0" w:type="dxa"/>
            <w:bottom w:w="0" w:type="dxa"/>
            <w:right w:w="0" w:type="dxa"/>
          </w:tblCellMar>
        </w:tblPrEx>
        <w:trPr>
          <w:trHeight w:val="269" w:hRule="atLeast"/>
          <w:jc w:val="center"/>
        </w:trPr>
        <w:tc>
          <w:tcPr>
            <w:tcW w:w="511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lang w:val="en-US" w:eastAsia="zh-CN"/>
              </w:rPr>
              <w:t>中共大厂回族自治县委直属机关工作委员会</w:t>
            </w:r>
          </w:p>
        </w:tc>
        <w:tc>
          <w:tcPr>
            <w:tcW w:w="8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Layout w:type="fixed"/>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4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6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64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6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4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96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64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6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0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142.38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101.76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2.56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6.93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0.33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0.95</w:t>
            </w: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cs="宋体"/>
                <w:color w:val="000000"/>
                <w:sz w:val="16"/>
                <w:szCs w:val="16"/>
                <w:lang w:val="en-US" w:eastAsia="zh-CN"/>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0.95</w:t>
            </w: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17.01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6.54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6.08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10.20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0.33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28.43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0.10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0.94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28.33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2.29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4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6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6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0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9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170.81</w:t>
            </w:r>
          </w:p>
        </w:tc>
        <w:tc>
          <w:tcPr>
            <w:tcW w:w="5153"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10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21.44</w:t>
            </w:r>
          </w:p>
        </w:tc>
      </w:tr>
      <w:tr>
        <w:tblPrEx>
          <w:tblLayout w:type="fixed"/>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Ind w:w="0" w:type="dxa"/>
        <w:tblLayout w:type="fixed"/>
        <w:tblCellMar>
          <w:top w:w="0" w:type="dxa"/>
          <w:left w:w="0" w:type="dxa"/>
          <w:bottom w:w="0" w:type="dxa"/>
          <w:right w:w="0" w:type="dxa"/>
        </w:tblCellMar>
      </w:tblPr>
      <w:tblGrid>
        <w:gridCol w:w="1158"/>
        <w:gridCol w:w="1527"/>
        <w:gridCol w:w="1528"/>
        <w:gridCol w:w="1530"/>
        <w:gridCol w:w="1530"/>
        <w:gridCol w:w="1527"/>
      </w:tblGrid>
      <w:tr>
        <w:tblPrEx>
          <w:tblLayout w:type="fixed"/>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Layout w:type="fixed"/>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Layout w:type="fixed"/>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中共大厂回族自治县委直属机关工作委员会</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2.80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2.80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0.36</w:t>
            </w:r>
          </w:p>
        </w:tc>
      </w:tr>
      <w:tr>
        <w:tblPrEx>
          <w:tblLayout w:type="fixed"/>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p>
        </w:tc>
      </w:tr>
      <w:tr>
        <w:tblPrEx>
          <w:tblLayout w:type="fixed"/>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Layout w:type="fixed"/>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Layout w:type="fixed"/>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Layout w:type="fixed"/>
          <w:tblCellMar>
            <w:top w:w="0" w:type="dxa"/>
            <w:left w:w="0" w:type="dxa"/>
            <w:bottom w:w="0" w:type="dxa"/>
            <w:right w:w="0" w:type="dxa"/>
          </w:tblCellMar>
        </w:tblPrEx>
        <w:trPr>
          <w:trHeight w:val="411" w:hRule="atLeast"/>
        </w:trPr>
        <w:tc>
          <w:tcPr>
            <w:tcW w:w="6400" w:type="dxa"/>
            <w:gridSpan w:val="9"/>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中共大厂回族自治县委直属机关工作委员会</w:t>
            </w: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Layout w:type="fixed"/>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注：</w:t>
            </w:r>
            <w:r>
              <w:rPr>
                <w:rFonts w:hint="eastAsia"/>
              </w:rPr>
              <w:t>本部门本年度无相关收支及结转结余情况，按要求空表列示。</w:t>
            </w:r>
            <w:r>
              <w:rPr>
                <w:rFonts w:hint="eastAsia" w:ascii="宋体" w:hAnsi="宋体" w:cs="宋体"/>
                <w:color w:val="000000"/>
                <w:kern w:val="0"/>
                <w:szCs w:val="21"/>
              </w:rPr>
              <w:t xml:space="preserve">       </w:t>
            </w:r>
          </w:p>
        </w:tc>
      </w:tr>
    </w:tbl>
    <w:p>
      <w:pPr>
        <w:widowControl/>
        <w:spacing w:after="0" w:line="560" w:lineRule="exact"/>
        <w:jc w:val="left"/>
        <w:rPr>
          <w:rFonts w:hint="eastAsia" w:ascii="楷体" w:hAnsi="楷体" w:eastAsia="楷体" w:cs="楷体"/>
          <w:sz w:val="32"/>
          <w:szCs w:val="32"/>
          <w:highlight w:val="yellow"/>
        </w:r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Layout w:type="fixed"/>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hint="eastAsia"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Layout w:type="fixed"/>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Layout w:type="fixed"/>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val="en-US" w:eastAsia="zh-CN"/>
              </w:rPr>
              <w:t>中共大厂回族自治县委直属机关工作委员会</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Layout w:type="fixed"/>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注：</w:t>
            </w:r>
            <w:r>
              <w:rPr>
                <w:rFonts w:hint="eastAsia"/>
              </w:rPr>
              <w:t>本部门本年度无相关收支情况，按要求空表列示。</w:t>
            </w:r>
          </w:p>
        </w:tc>
      </w:tr>
    </w:tbl>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Layout w:type="fixed"/>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hint="eastAsia" w:ascii="黑体" w:hAnsi="宋体" w:eastAsia="黑体" w:cs="黑体"/>
                <w:color w:val="000000"/>
                <w:kern w:val="0"/>
                <w:sz w:val="40"/>
                <w:szCs w:val="40"/>
              </w:rPr>
            </w:pPr>
          </w:p>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Layout w:type="fixed"/>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Layout w:type="fixed"/>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lang w:val="en-US" w:eastAsia="zh-CN"/>
              </w:rPr>
              <w:t>中共大厂回族自治县委直属机关工作委员会</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Layout w:type="fixed"/>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Layout w:type="fixed"/>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注：</w:t>
            </w:r>
            <w:r>
              <w:rPr>
                <w:rFonts w:hint="eastAsia"/>
              </w:rPr>
              <w:t>本部门本年度无相关收支情况，按要求空表列示。</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color w:val="000000" w:themeColor="text1"/>
          <w:sz w:val="32"/>
          <w:szCs w:val="32"/>
          <w:lang w:val="en-US" w:eastAsia="zh-CN"/>
        </w:rPr>
        <w:t>201.21</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因本部门2018年1月起才开始独立核算，决算数据无法与2017年决算数据相比较。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201.21</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201.21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%。如图所示：</w:t>
      </w:r>
    </w:p>
    <w:p>
      <w:pPr>
        <w:adjustRightInd w:val="0"/>
        <w:snapToGrid w:val="0"/>
        <w:spacing w:line="584" w:lineRule="exact"/>
        <w:jc w:val="center"/>
        <w:rPr>
          <w:rFonts w:eastAsia="仿宋_GB2312"/>
          <w:sz w:val="32"/>
          <w:szCs w:val="32"/>
        </w:rPr>
      </w:pPr>
      <w:r>
        <w:rPr>
          <w:rFonts w:eastAsia="仿宋_GB2312"/>
          <w:sz w:val="32"/>
          <w:szCs w:val="32"/>
        </w:rPr>
        <w:t>图1：收入决算结构饼状图</w:t>
      </w:r>
    </w:p>
    <w:p>
      <w:pPr>
        <w:rPr>
          <w:rFonts w:hint="eastAsia" w:ascii="黑体" w:eastAsia="黑体" w:hAnsiTheme="majorHAnsi" w:cstheme="majorBidi"/>
          <w:sz w:val="32"/>
          <w:szCs w:val="32"/>
          <w:lang w:eastAsia="zh-CN"/>
        </w:rPr>
      </w:pPr>
      <w:r>
        <w:rPr>
          <w:rFonts w:hint="eastAsia" w:ascii="黑体" w:eastAsia="黑体" w:hAnsiTheme="majorHAnsi" w:cstheme="majorBidi"/>
          <w:sz w:val="32"/>
          <w:szCs w:val="32"/>
          <w:lang w:eastAsia="zh-CN"/>
        </w:rPr>
        <w:drawing>
          <wp:inline distT="0" distB="0" distL="114300" distR="114300">
            <wp:extent cx="5223510" cy="3763010"/>
            <wp:effectExtent l="4445" t="4445" r="10795" b="2349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3"/>
        <w:spacing w:before="0" w:after="0" w:line="580" w:lineRule="exact"/>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199.25</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192.25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96.49</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7.00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3.51</w:t>
      </w:r>
      <w:r>
        <w:rPr>
          <w:rFonts w:hint="eastAsia" w:ascii="仿宋_GB2312" w:eastAsia="仿宋_GB2312" w:cs="DengXian-Regular"/>
          <w:sz w:val="32"/>
          <w:szCs w:val="32"/>
        </w:rPr>
        <w:t>%。如图所示：</w:t>
      </w:r>
    </w:p>
    <w:p>
      <w:pPr>
        <w:adjustRightInd w:val="0"/>
        <w:snapToGrid w:val="0"/>
        <w:spacing w:after="0" w:line="580" w:lineRule="exact"/>
        <w:jc w:val="center"/>
        <w:rPr>
          <w:rFonts w:eastAsia="仿宋_GB2312"/>
          <w:sz w:val="32"/>
          <w:szCs w:val="32"/>
        </w:rPr>
      </w:pPr>
      <w:r>
        <w:rPr>
          <w:rFonts w:eastAsia="仿宋_GB2312"/>
          <w:sz w:val="32"/>
          <w:szCs w:val="32"/>
        </w:rPr>
        <w:t>图2：支出决算结构饼状图</w:t>
      </w: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r>
        <w:rPr>
          <w:rFonts w:hint="eastAsia" w:eastAsia="仿宋_GB2312"/>
          <w:sz w:val="32"/>
          <w:szCs w:val="32"/>
          <w:lang w:eastAsia="zh-CN"/>
        </w:rPr>
        <w:drawing>
          <wp:anchor distT="0" distB="0" distL="114300" distR="114300" simplePos="0" relativeHeight="251658240" behindDoc="0" locked="0" layoutInCell="1" allowOverlap="1">
            <wp:simplePos x="0" y="0"/>
            <wp:positionH relativeFrom="column">
              <wp:posOffset>23495</wp:posOffset>
            </wp:positionH>
            <wp:positionV relativeFrom="paragraph">
              <wp:posOffset>153035</wp:posOffset>
            </wp:positionV>
            <wp:extent cx="5080000" cy="3810000"/>
            <wp:effectExtent l="4445" t="4445" r="20955" b="14605"/>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eastAsia="仿宋_GB2312"/>
          <w:sz w:val="32"/>
          <w:szCs w:val="32"/>
        </w:rPr>
      </w:pPr>
    </w:p>
    <w:p>
      <w:pPr>
        <w:adjustRightInd w:val="0"/>
        <w:snapToGrid w:val="0"/>
        <w:spacing w:after="0" w:line="580" w:lineRule="exact"/>
        <w:jc w:val="left"/>
        <w:rPr>
          <w:rFonts w:hint="eastAsia" w:eastAsia="仿宋_GB2312"/>
          <w:sz w:val="32"/>
          <w:szCs w:val="32"/>
          <w:lang w:eastAsia="zh-CN"/>
        </w:rPr>
      </w:pPr>
    </w:p>
    <w:p>
      <w:pPr>
        <w:adjustRightInd w:val="0"/>
        <w:snapToGrid w:val="0"/>
        <w:spacing w:after="0" w:line="580" w:lineRule="exact"/>
        <w:jc w:val="left"/>
        <w:rPr>
          <w:rFonts w:hint="eastAsia" w:eastAsia="仿宋_GB2312"/>
          <w:sz w:val="32"/>
          <w:szCs w:val="32"/>
          <w:lang w:eastAsia="zh-CN"/>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both"/>
        <w:rPr>
          <w:rFonts w:eastAsia="仿宋_GB2312"/>
          <w:sz w:val="32"/>
          <w:szCs w:val="32"/>
        </w:rPr>
      </w:pPr>
    </w:p>
    <w:p>
      <w:pPr>
        <w:adjustRightInd w:val="0"/>
        <w:snapToGrid w:val="0"/>
        <w:spacing w:after="0" w:line="580" w:lineRule="exact"/>
        <w:jc w:val="both"/>
        <w:rPr>
          <w:rFonts w:hint="eastAsia" w:eastAsia="仿宋_GB2312"/>
          <w:color w:val="FFFFFF" w:themeColor="background1"/>
          <w:sz w:val="32"/>
          <w:szCs w:val="32"/>
          <w:lang w:eastAsia="zh-CN"/>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201.21</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因本部门2018年1月起才开始独立核算，决算数据无法与2017年决算数据相比较。</w:t>
      </w:r>
    </w:p>
    <w:p>
      <w:pPr>
        <w:adjustRightInd w:val="0"/>
        <w:snapToGrid w:val="0"/>
        <w:spacing w:after="0" w:line="580" w:lineRule="exact"/>
        <w:jc w:val="center"/>
        <w:rPr>
          <w:rFonts w:ascii="仿宋_GB2312" w:eastAsia="仿宋_GB2312" w:cs="DengXian-Regular"/>
          <w:sz w:val="32"/>
          <w:szCs w:val="32"/>
        </w:rPr>
      </w:pPr>
      <w:r>
        <w:rPr>
          <w:rFonts w:hint="eastAsia" w:eastAsia="仿宋_GB2312"/>
          <w:sz w:val="32"/>
          <w:szCs w:val="32"/>
        </w:rPr>
        <w:t>图3：财政拨款收支情况</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59264" behindDoc="0" locked="0" layoutInCell="1" allowOverlap="1">
            <wp:simplePos x="0" y="0"/>
            <wp:positionH relativeFrom="column">
              <wp:posOffset>420370</wp:posOffset>
            </wp:positionH>
            <wp:positionV relativeFrom="paragraph">
              <wp:posOffset>143510</wp:posOffset>
            </wp:positionV>
            <wp:extent cx="5080000" cy="3810000"/>
            <wp:effectExtent l="4445" t="4445" r="20955" b="14605"/>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201.21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113.04</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23.21</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val="en-US" w:eastAsia="zh-CN"/>
        </w:rPr>
        <w:t>保险基数调整，导致人员经费增加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199.25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111.94</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21.25</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val="en-US" w:eastAsia="zh-CN"/>
        </w:rPr>
        <w:t>保险基数调整，导致人员经费增加</w:t>
      </w:r>
      <w:r>
        <w:rPr>
          <w:rFonts w:hint="eastAsia" w:ascii="仿宋_GB2312" w:eastAsia="仿宋_GB2312" w:cs="DengXian-Regular"/>
          <w:sz w:val="32"/>
          <w:szCs w:val="32"/>
        </w:rPr>
        <w:t>。</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60288" behindDoc="0" locked="0" layoutInCell="1" allowOverlap="1">
            <wp:simplePos x="0" y="0"/>
            <wp:positionH relativeFrom="column">
              <wp:posOffset>258445</wp:posOffset>
            </wp:positionH>
            <wp:positionV relativeFrom="paragraph">
              <wp:posOffset>241935</wp:posOffset>
            </wp:positionV>
            <wp:extent cx="5080000" cy="3810000"/>
            <wp:effectExtent l="4445" t="4445" r="20955" b="14605"/>
            <wp:wrapSquare wrapText="bothSides"/>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199.25</w:t>
      </w:r>
      <w:r>
        <w:rPr>
          <w:rFonts w:hint="eastAsia" w:ascii="仿宋_GB2312" w:eastAsia="仿宋_GB2312" w:cs="DengXian-Regular"/>
          <w:sz w:val="32"/>
          <w:szCs w:val="32"/>
        </w:rPr>
        <w:t>万元，主要用于以下方面一般公共服务</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类</w:t>
      </w:r>
      <w:r>
        <w:rPr>
          <w:rFonts w:hint="eastAsia" w:ascii="仿宋_GB2312" w:eastAsia="仿宋_GB2312" w:cs="DengXian-Regular"/>
          <w:sz w:val="32"/>
          <w:szCs w:val="32"/>
          <w:lang w:eastAsia="zh-CN"/>
        </w:rPr>
        <w:t>）</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165.96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83.29</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社会保障和就业</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类</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支出17.01万元，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8.54</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医疗卫生与计划生育支出</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类</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6.08万元，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3.05</w:t>
      </w:r>
      <w:r>
        <w:rPr>
          <w:rFonts w:hint="eastAsia" w:ascii="仿宋_GB2312" w:eastAsia="仿宋_GB2312" w:cs="DengXian-Regular"/>
          <w:sz w:val="32"/>
          <w:szCs w:val="32"/>
        </w:rPr>
        <w:t>%；住房保障</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类</w:t>
      </w:r>
      <w:r>
        <w:rPr>
          <w:rFonts w:hint="eastAsia" w:ascii="仿宋_GB2312" w:eastAsia="仿宋_GB2312" w:cs="DengXian-Regular"/>
          <w:sz w:val="32"/>
          <w:szCs w:val="32"/>
          <w:lang w:eastAsia="zh-CN"/>
        </w:rPr>
        <w:t>）</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10.20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5.12</w:t>
      </w:r>
      <w:r>
        <w:rPr>
          <w:rFonts w:hint="eastAsia" w:ascii="仿宋_GB2312" w:eastAsia="仿宋_GB2312" w:cs="DengXian-Regular"/>
          <w:sz w:val="32"/>
          <w:szCs w:val="32"/>
        </w:rPr>
        <w:t>%。</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anchor distT="0" distB="0" distL="114300" distR="114300" simplePos="0" relativeHeight="251661312" behindDoc="0" locked="0" layoutInCell="1" allowOverlap="1">
            <wp:simplePos x="0" y="0"/>
            <wp:positionH relativeFrom="column">
              <wp:posOffset>280670</wp:posOffset>
            </wp:positionH>
            <wp:positionV relativeFrom="paragraph">
              <wp:posOffset>241935</wp:posOffset>
            </wp:positionV>
            <wp:extent cx="5080000" cy="3810000"/>
            <wp:effectExtent l="4445" t="4445" r="20955" b="14605"/>
            <wp:wrapSquare wrapText="bothSides"/>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192.25</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170.81</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w:t>
      </w:r>
      <w:r>
        <w:rPr>
          <w:rFonts w:hint="eastAsia" w:ascii="仿宋_GB2312" w:eastAsia="仿宋_GB2312" w:cs="DengXian-Regular"/>
          <w:sz w:val="32"/>
          <w:szCs w:val="32"/>
          <w:lang w:val="en-US" w:eastAsia="zh-CN"/>
        </w:rPr>
        <w:t>21.44</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8</w:t>
      </w:r>
      <w:r>
        <w:rPr>
          <w:rFonts w:eastAsia="仿宋_GB2312"/>
          <w:sz w:val="32"/>
          <w:szCs w:val="32"/>
        </w:rPr>
        <w:t>年度一般公共预算财政拨款“三公”经费支出共计</w:t>
      </w:r>
      <w:r>
        <w:rPr>
          <w:rFonts w:hint="eastAsia" w:eastAsia="仿宋_GB2312"/>
          <w:sz w:val="32"/>
          <w:szCs w:val="32"/>
          <w:lang w:val="en-US" w:eastAsia="zh-CN"/>
        </w:rPr>
        <w:t>2.29</w:t>
      </w:r>
      <w:r>
        <w:rPr>
          <w:rFonts w:eastAsia="仿宋_GB2312"/>
          <w:sz w:val="32"/>
          <w:szCs w:val="32"/>
        </w:rPr>
        <w:t>万元，</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0.87</w:t>
      </w:r>
      <w:r>
        <w:rPr>
          <w:rFonts w:eastAsia="仿宋_GB2312"/>
          <w:sz w:val="32"/>
          <w:szCs w:val="32"/>
        </w:rPr>
        <w:t>万元，降低</w:t>
      </w:r>
      <w:r>
        <w:rPr>
          <w:rFonts w:hint="eastAsia" w:eastAsia="仿宋_GB2312"/>
          <w:sz w:val="32"/>
          <w:szCs w:val="32"/>
          <w:lang w:val="en-US" w:eastAsia="zh-CN"/>
        </w:rPr>
        <w:t>27.53</w:t>
      </w:r>
      <w:r>
        <w:rPr>
          <w:rFonts w:eastAsia="仿宋_GB2312"/>
          <w:sz w:val="32"/>
          <w:szCs w:val="32"/>
        </w:rPr>
        <w:t>%，主要是</w:t>
      </w:r>
      <w:r>
        <w:rPr>
          <w:rFonts w:hint="eastAsia" w:eastAsia="仿宋_GB2312"/>
          <w:sz w:val="32"/>
          <w:szCs w:val="32"/>
          <w:lang w:val="en-US" w:eastAsia="zh-CN"/>
        </w:rPr>
        <w:t>公务接待费0.36万元没支出，公务用车购置及运行费剩余0.51万元没支出</w:t>
      </w:r>
      <w:r>
        <w:rPr>
          <w:rFonts w:hint="eastAsia" w:ascii="仿宋_GB2312" w:eastAsia="仿宋_GB2312" w:cs="DengXian-Regular"/>
          <w:sz w:val="32"/>
          <w:szCs w:val="32"/>
          <w:lang w:val="en-US" w:eastAsia="zh-CN"/>
        </w:rPr>
        <w:t>。</w:t>
      </w:r>
      <w:r>
        <w:rPr>
          <w:rFonts w:eastAsia="仿宋_GB2312"/>
          <w:sz w:val="32"/>
          <w:szCs w:val="32"/>
        </w:rPr>
        <w:t>具体情况如下：</w:t>
      </w:r>
    </w:p>
    <w:p>
      <w:pPr>
        <w:numPr>
          <w:ilvl w:val="0"/>
          <w:numId w:val="2"/>
        </w:numPr>
        <w:adjustRightInd w:val="0"/>
        <w:snapToGrid w:val="0"/>
        <w:spacing w:line="584" w:lineRule="exact"/>
        <w:ind w:firstLine="643" w:firstLineChars="200"/>
        <w:rPr>
          <w:rFonts w:hint="eastAsia" w:ascii="仿宋_GB2312" w:eastAsia="仿宋_GB2312" w:cs="DengXian-Regular"/>
          <w:sz w:val="32"/>
          <w:szCs w:val="32"/>
          <w:lang w:val="en-US" w:eastAsia="zh-CN"/>
        </w:rPr>
      </w:pPr>
      <w:r>
        <w:rPr>
          <w:rFonts w:eastAsia="楷体_GB2312"/>
          <w:b/>
          <w:bCs/>
          <w:sz w:val="32"/>
          <w:szCs w:val="32"/>
        </w:rPr>
        <w:t>因公出国（境）费支出</w:t>
      </w:r>
      <w:r>
        <w:rPr>
          <w:rFonts w:hint="eastAsia" w:eastAsia="楷体_GB2312"/>
          <w:b/>
          <w:bCs/>
          <w:sz w:val="32"/>
          <w:szCs w:val="32"/>
          <w:lang w:val="en-US" w:eastAsia="zh-CN"/>
        </w:rPr>
        <w:t>0.00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val="en-US" w:eastAsia="zh-CN"/>
        </w:rPr>
        <w:t>无变化</w:t>
      </w:r>
      <w:r>
        <w:rPr>
          <w:rFonts w:hint="eastAsia" w:eastAsia="仿宋_GB2312"/>
          <w:sz w:val="32"/>
          <w:szCs w:val="32"/>
          <w:lang w:eastAsia="zh-CN"/>
        </w:rPr>
        <w:t>。</w:t>
      </w:r>
      <w:r>
        <w:rPr>
          <w:rFonts w:hint="eastAsia" w:ascii="仿宋_GB2312" w:eastAsia="仿宋_GB2312" w:cs="DengXian-Regular"/>
          <w:sz w:val="32"/>
          <w:szCs w:val="32"/>
          <w:lang w:val="en-US" w:eastAsia="zh-CN"/>
        </w:rPr>
        <w:t>因本部门2018年1月起才开始独立核算，决算数据无法与2017年决算数据相比较。</w:t>
      </w:r>
    </w:p>
    <w:p>
      <w:pPr>
        <w:adjustRightInd w:val="0"/>
        <w:snapToGrid w:val="0"/>
        <w:spacing w:after="0" w:line="580" w:lineRule="exact"/>
        <w:ind w:firstLine="643" w:firstLineChars="200"/>
        <w:rPr>
          <w:rFonts w:eastAsia="仿宋_GB2312"/>
          <w:b/>
          <w:bCs/>
          <w:sz w:val="32"/>
          <w:szCs w:val="32"/>
        </w:rPr>
      </w:pPr>
      <w:r>
        <w:rPr>
          <w:rFonts w:eastAsia="楷体_GB2312"/>
          <w:b/>
          <w:bCs/>
          <w:sz w:val="32"/>
          <w:szCs w:val="32"/>
        </w:rPr>
        <w:t>（二）公务用车购置及运行维护费支出</w:t>
      </w:r>
      <w:r>
        <w:rPr>
          <w:rFonts w:hint="eastAsia" w:eastAsia="楷体_GB2312"/>
          <w:b/>
          <w:bCs/>
          <w:sz w:val="32"/>
          <w:szCs w:val="32"/>
          <w:lang w:val="en-US" w:eastAsia="zh-CN"/>
        </w:rPr>
        <w:t>2.29</w:t>
      </w:r>
      <w:r>
        <w:rPr>
          <w:rFonts w:eastAsia="楷体_GB2312"/>
          <w:b/>
          <w:bCs/>
          <w:sz w:val="32"/>
          <w:szCs w:val="32"/>
        </w:rPr>
        <w:t>万元。</w:t>
      </w:r>
      <w:r>
        <w:rPr>
          <w:rFonts w:hint="eastAsia" w:ascii="仿宋_GB2312" w:eastAsia="仿宋_GB2312" w:cs="DengXian-Regular"/>
          <w:sz w:val="32"/>
          <w:szCs w:val="32"/>
        </w:rPr>
        <w:t>本部门2018年度公务用车购置及运行维护费比年初预算</w:t>
      </w:r>
      <w:r>
        <w:rPr>
          <w:rFonts w:eastAsia="仿宋_GB2312"/>
          <w:sz w:val="32"/>
          <w:szCs w:val="32"/>
        </w:rPr>
        <w:t>减少</w:t>
      </w:r>
      <w:r>
        <w:rPr>
          <w:rFonts w:hint="eastAsia" w:eastAsia="仿宋_GB2312"/>
          <w:sz w:val="32"/>
          <w:szCs w:val="32"/>
          <w:lang w:val="en-US" w:eastAsia="zh-CN"/>
        </w:rPr>
        <w:t>0.51</w:t>
      </w:r>
      <w:r>
        <w:rPr>
          <w:rFonts w:eastAsia="仿宋_GB2312"/>
          <w:sz w:val="32"/>
          <w:szCs w:val="32"/>
        </w:rPr>
        <w:t>万元</w:t>
      </w:r>
      <w:r>
        <w:rPr>
          <w:rFonts w:hint="eastAsia" w:ascii="仿宋_GB2312" w:eastAsia="仿宋_GB2312" w:cs="DengXian-Regular"/>
          <w:sz w:val="32"/>
          <w:szCs w:val="32"/>
        </w:rPr>
        <w:t>，</w:t>
      </w:r>
      <w:r>
        <w:rPr>
          <w:rFonts w:eastAsia="仿宋_GB2312"/>
          <w:sz w:val="32"/>
          <w:szCs w:val="32"/>
        </w:rPr>
        <w:t>降低</w:t>
      </w:r>
      <w:r>
        <w:rPr>
          <w:rFonts w:hint="eastAsia" w:eastAsia="仿宋_GB2312"/>
          <w:sz w:val="32"/>
          <w:szCs w:val="32"/>
          <w:lang w:val="en-US" w:eastAsia="zh-CN"/>
        </w:rPr>
        <w:t>18.21</w:t>
      </w:r>
      <w:r>
        <w:rPr>
          <w:rFonts w:eastAsia="仿宋_GB2312"/>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主要是公务用车运行费有结余。因本部门2018年1月起才开始独立核算，决算数据无法与2017年决算数据相比较。</w:t>
      </w:r>
      <w:r>
        <w:rPr>
          <w:rFonts w:eastAsia="仿宋_GB2312"/>
          <w:b/>
          <w:bCs/>
          <w:sz w:val="32"/>
          <w:szCs w:val="32"/>
        </w:rPr>
        <w:t>其中：</w:t>
      </w:r>
    </w:p>
    <w:p>
      <w:pPr>
        <w:adjustRightInd w:val="0"/>
        <w:snapToGrid w:val="0"/>
        <w:spacing w:after="0" w:line="580" w:lineRule="exact"/>
        <w:ind w:firstLine="643" w:firstLineChars="200"/>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lang w:val="en-US" w:eastAsia="zh-CN"/>
        </w:rPr>
        <w:t>0.00</w:t>
      </w:r>
      <w:r>
        <w:rPr>
          <w:rFonts w:eastAsia="仿宋_GB2312"/>
          <w:b/>
          <w:sz w:val="32"/>
          <w:szCs w:val="32"/>
        </w:rPr>
        <w:t>万元。</w:t>
      </w:r>
      <w:r>
        <w:rPr>
          <w:rFonts w:hint="eastAsia" w:eastAsia="仿宋_GB2312"/>
          <w:b w:val="0"/>
          <w:bCs/>
          <w:sz w:val="32"/>
          <w:szCs w:val="32"/>
          <w:lang w:val="en-US" w:eastAsia="zh-CN"/>
        </w:rPr>
        <w:t>较年初预算无增减变化。</w:t>
      </w:r>
      <w:r>
        <w:rPr>
          <w:rFonts w:hint="eastAsia" w:ascii="仿宋_GB2312" w:eastAsia="仿宋_GB2312" w:cs="DengXian-Regular"/>
          <w:sz w:val="32"/>
          <w:szCs w:val="32"/>
          <w:lang w:val="en-US" w:eastAsia="zh-CN"/>
        </w:rPr>
        <w:t>因本部门2018年1月起才开始独立核算，决算数据无法与2017年决算数据相比较。</w:t>
      </w:r>
    </w:p>
    <w:p>
      <w:pPr>
        <w:adjustRightInd w:val="0"/>
        <w:snapToGrid w:val="0"/>
        <w:spacing w:line="584" w:lineRule="exact"/>
        <w:ind w:firstLine="643" w:firstLineChars="200"/>
        <w:rPr>
          <w:rFonts w:hint="eastAsia" w:ascii="仿宋_GB2312" w:eastAsia="仿宋_GB2312" w:cs="DengXian-Regular"/>
          <w:sz w:val="32"/>
          <w:szCs w:val="32"/>
          <w:lang w:val="en-US" w:eastAsia="zh-CN"/>
        </w:rPr>
      </w:pPr>
      <w:r>
        <w:rPr>
          <w:rFonts w:eastAsia="仿宋_GB2312"/>
          <w:b/>
          <w:sz w:val="32"/>
          <w:szCs w:val="32"/>
        </w:rPr>
        <w:t>公务用车运行维护费支出</w:t>
      </w:r>
      <w:r>
        <w:rPr>
          <w:rFonts w:hint="eastAsia" w:eastAsia="仿宋_GB2312"/>
          <w:b/>
          <w:sz w:val="32"/>
          <w:szCs w:val="32"/>
          <w:lang w:val="en-US" w:eastAsia="zh-CN"/>
        </w:rPr>
        <w:t>2.29</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lang w:val="en-US" w:eastAsia="zh-CN"/>
        </w:rPr>
        <w:t>1</w:t>
      </w:r>
      <w:r>
        <w:rPr>
          <w:rFonts w:eastAsia="仿宋_GB2312"/>
          <w:sz w:val="32"/>
          <w:szCs w:val="32"/>
        </w:rPr>
        <w:t>辆。公车运行维护费支出</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0.51</w:t>
      </w:r>
      <w:r>
        <w:rPr>
          <w:rFonts w:eastAsia="仿宋_GB2312"/>
          <w:sz w:val="32"/>
          <w:szCs w:val="32"/>
        </w:rPr>
        <w:t>万元，降低</w:t>
      </w:r>
      <w:r>
        <w:rPr>
          <w:rFonts w:hint="eastAsia" w:eastAsia="仿宋_GB2312"/>
          <w:sz w:val="32"/>
          <w:szCs w:val="32"/>
          <w:lang w:val="en-US" w:eastAsia="zh-CN"/>
        </w:rPr>
        <w:t>18.21</w:t>
      </w:r>
      <w:r>
        <w:rPr>
          <w:rFonts w:eastAsia="仿宋_GB2312"/>
          <w:sz w:val="32"/>
          <w:szCs w:val="32"/>
        </w:rPr>
        <w:t>%，主要是</w:t>
      </w:r>
      <w:r>
        <w:rPr>
          <w:rFonts w:hint="eastAsia" w:ascii="仿宋_GB2312" w:eastAsia="仿宋_GB2312" w:cs="DengXian-Regular"/>
          <w:sz w:val="32"/>
          <w:szCs w:val="32"/>
          <w:lang w:val="en-US" w:eastAsia="zh-CN"/>
        </w:rPr>
        <w:t>公务用车运行费有结余</w:t>
      </w:r>
      <w:r>
        <w:rPr>
          <w:rFonts w:eastAsia="仿宋_GB2312"/>
          <w:sz w:val="32"/>
          <w:szCs w:val="32"/>
        </w:rPr>
        <w:t>；</w:t>
      </w:r>
      <w:r>
        <w:rPr>
          <w:rFonts w:hint="eastAsia" w:ascii="仿宋_GB2312" w:eastAsia="仿宋_GB2312" w:cs="DengXian-Regular"/>
          <w:sz w:val="32"/>
          <w:szCs w:val="32"/>
          <w:lang w:val="en-US" w:eastAsia="zh-CN"/>
        </w:rPr>
        <w:t>因本部门2018年1月起才开始独立核算，决算数据无法与2017年决算数据相比较。</w:t>
      </w:r>
    </w:p>
    <w:p>
      <w:pPr>
        <w:keepNext w:val="0"/>
        <w:keepLines w:val="0"/>
        <w:pageBreakBefore w:val="0"/>
        <w:widowControl w:val="0"/>
        <w:kinsoku/>
        <w:wordWrap/>
        <w:overflowPunct/>
        <w:topLinePunct w:val="0"/>
        <w:autoSpaceDE/>
        <w:autoSpaceDN/>
        <w:bidi w:val="0"/>
        <w:spacing w:after="0"/>
        <w:ind w:firstLine="643" w:firstLineChars="200"/>
        <w:textAlignment w:val="auto"/>
        <w:rPr>
          <w:highlight w:val="yellow"/>
        </w:rPr>
      </w:pPr>
      <w:r>
        <w:rPr>
          <w:rFonts w:eastAsia="楷体_GB2312"/>
          <w:b/>
          <w:bCs/>
          <w:sz w:val="32"/>
          <w:szCs w:val="32"/>
        </w:rPr>
        <w:t>（三）公务接待费支出</w:t>
      </w:r>
      <w:r>
        <w:rPr>
          <w:rFonts w:hint="eastAsia" w:eastAsia="楷体_GB2312"/>
          <w:b/>
          <w:bCs/>
          <w:sz w:val="32"/>
          <w:szCs w:val="32"/>
          <w:lang w:val="en-US" w:eastAsia="zh-CN"/>
        </w:rPr>
        <w:t>0.00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w:t>
      </w:r>
      <w:r>
        <w:rPr>
          <w:rFonts w:hint="eastAsia" w:eastAsia="仿宋_GB2312"/>
          <w:sz w:val="32"/>
          <w:szCs w:val="32"/>
          <w:lang w:val="en-US" w:eastAsia="zh-CN"/>
        </w:rPr>
        <w:t>费无支出。</w:t>
      </w:r>
      <w:r>
        <w:rPr>
          <w:rFonts w:eastAsia="仿宋_GB2312"/>
          <w:sz w:val="32"/>
          <w:szCs w:val="32"/>
        </w:rPr>
        <w:t>公务接待费支出</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0.36</w:t>
      </w:r>
      <w:r>
        <w:rPr>
          <w:rFonts w:eastAsia="仿宋_GB2312"/>
          <w:sz w:val="32"/>
          <w:szCs w:val="32"/>
        </w:rPr>
        <w:t>万元，降低</w:t>
      </w:r>
      <w:r>
        <w:rPr>
          <w:rFonts w:hint="eastAsia" w:eastAsia="仿宋_GB2312"/>
          <w:sz w:val="32"/>
          <w:szCs w:val="32"/>
          <w:lang w:val="en-US" w:eastAsia="zh-CN"/>
        </w:rPr>
        <w:t>100</w:t>
      </w:r>
      <w:r>
        <w:rPr>
          <w:rFonts w:eastAsia="仿宋_GB2312"/>
          <w:sz w:val="32"/>
          <w:szCs w:val="32"/>
        </w:rPr>
        <w:t>%，主要是</w:t>
      </w:r>
      <w:r>
        <w:rPr>
          <w:rFonts w:hint="eastAsia" w:eastAsia="仿宋_GB2312"/>
          <w:sz w:val="32"/>
          <w:szCs w:val="32"/>
          <w:lang w:val="en-US" w:eastAsia="zh-CN"/>
        </w:rPr>
        <w:t>本年度无公务接待情况</w:t>
      </w:r>
      <w:r>
        <w:rPr>
          <w:rFonts w:eastAsia="仿宋_GB2312"/>
          <w:sz w:val="32"/>
          <w:szCs w:val="32"/>
        </w:rPr>
        <w:t>；</w:t>
      </w:r>
      <w:r>
        <w:rPr>
          <w:rFonts w:hint="eastAsia" w:ascii="仿宋_GB2312" w:eastAsia="仿宋_GB2312" w:cs="DengXian-Regular"/>
          <w:sz w:val="32"/>
          <w:szCs w:val="32"/>
          <w:lang w:val="en-US" w:eastAsia="zh-CN"/>
        </w:rPr>
        <w:t>因本部门2018年1月起才开始独立核算，决算数据无法与2017年决算数据相比较。</w:t>
      </w:r>
    </w:p>
    <w:p>
      <w:pPr>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按照财政局要求和本部门实际支出进度相关情况，将预算资金设定绩效目标指标，并作为预算安排的重要依据。设立预算项目资金绩效目标执行监控机制，以达到预算绩效评价要求。</w:t>
      </w:r>
    </w:p>
    <w:p>
      <w:pPr>
        <w:numPr>
          <w:ilvl w:val="0"/>
          <w:numId w:val="2"/>
        </w:numPr>
        <w:adjustRightInd w:val="0"/>
        <w:snapToGrid w:val="0"/>
        <w:spacing w:after="0" w:line="580" w:lineRule="exact"/>
        <w:ind w:left="0" w:leftChars="0"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项目绩效自评结果</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严格按照县委、县政府和财政局相关工作要求，结合本部门预算绩效管理工作开展实际情况，严格把关资金支出进度和方向，做到专款专用。定期对单位预算支出情况和绩效目标指标执行情况进行分析，及时调整支出进度，确保达到预期效果。本年开展的四个项目绩效评价工作中，公开绩效评价结果均为优秀，优秀率100%。</w:t>
      </w:r>
    </w:p>
    <w:p>
      <w:pPr>
        <w:numPr>
          <w:ilvl w:val="0"/>
          <w:numId w:val="2"/>
        </w:numPr>
        <w:adjustRightInd w:val="0"/>
        <w:snapToGrid w:val="0"/>
        <w:spacing w:after="0" w:line="580" w:lineRule="exact"/>
        <w:ind w:left="0" w:leftChars="0"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重点项目绩效评价结果</w:t>
      </w:r>
    </w:p>
    <w:p>
      <w:pPr>
        <w:numPr>
          <w:ilvl w:val="0"/>
          <w:numId w:val="0"/>
        </w:numPr>
        <w:adjustRightInd w:val="0"/>
        <w:snapToGrid w:val="0"/>
        <w:spacing w:after="0" w:line="580" w:lineRule="exact"/>
        <w:ind w:leftChars="200"/>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 xml:space="preserve">  本部门本年度无重点项目。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21.44</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因本部门2018年1月起才开始独立核算，决算数据无法与2017年决算数据相比较。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w:t>
      </w:r>
      <w:r>
        <w:rPr>
          <w:rFonts w:ascii="仿宋_GB2312" w:hAnsi="仿宋_GB2312" w:eastAsia="仿宋_GB2312" w:cs="仿宋_GB2312"/>
          <w:color w:val="000000"/>
          <w:kern w:val="0"/>
          <w:sz w:val="32"/>
          <w:szCs w:val="32"/>
        </w:rPr>
        <w:t>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eastAsia="仿宋_GB2312" w:cs="DengXian-Regular"/>
          <w:sz w:val="32"/>
          <w:szCs w:val="32"/>
          <w:lang w:val="en-US" w:eastAsia="zh-CN"/>
        </w:rPr>
        <w:t>因本部门2018年1月起才开始独立核算，决算数据无法与2017年决算数据相比较。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rPr>
        <w:t>比上年增加</w:t>
      </w:r>
      <w:bookmarkStart w:id="0" w:name="_GoBack"/>
      <w:bookmarkEnd w:id="0"/>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w:t>
      </w:r>
      <w:r>
        <w:rPr>
          <w:rFonts w:hint="eastAsia" w:ascii="仿宋_GB2312" w:eastAsia="仿宋_GB2312" w:cs="DengXian-Regular"/>
          <w:sz w:val="32"/>
          <w:szCs w:val="32"/>
          <w:lang w:val="en-US" w:eastAsia="zh-CN"/>
        </w:rPr>
        <w:t>因本部门2018年1月起才开始独立核算，决算数据无法与2017年决算数据相比较。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val="en-US" w:eastAsia="zh-CN"/>
        </w:rPr>
        <w:t>政府性基金预算财政拨款</w:t>
      </w:r>
      <w:r>
        <w:rPr>
          <w:rFonts w:hint="eastAsia" w:ascii="仿宋_GB2312" w:eastAsia="仿宋_GB2312" w:cs="DengXian-Regular"/>
          <w:sz w:val="32"/>
          <w:szCs w:val="32"/>
        </w:rPr>
        <w:t>无收支及结转结余情况</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国有资本经营预算财政拨款无收支及结余结转情况、无政府采购情况</w:t>
      </w:r>
      <w:r>
        <w:rPr>
          <w:rFonts w:hint="eastAsia" w:ascii="仿宋_GB2312" w:eastAsia="仿宋_GB2312" w:cs="DengXian-Regular"/>
          <w:sz w:val="32"/>
          <w:szCs w:val="32"/>
        </w:rPr>
        <w:t>，故</w:t>
      </w:r>
      <w:r>
        <w:rPr>
          <w:rFonts w:hint="eastAsia" w:ascii="仿宋_GB2312" w:eastAsia="仿宋_GB2312" w:cs="DengXian-Regular"/>
          <w:sz w:val="32"/>
          <w:szCs w:val="32"/>
          <w:lang w:val="en-US" w:eastAsia="zh-CN"/>
        </w:rPr>
        <w:t>政府性基金预算财政拨款收入支出决算表</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国有资本经营预算财政拨款支出决算表、政府采购情况</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375B6D-D675-4A0C-B104-E24546670C6A}"/>
  </w:font>
  <w:font w:name="黑体">
    <w:panose1 w:val="02010609060101010101"/>
    <w:charset w:val="86"/>
    <w:family w:val="auto"/>
    <w:pitch w:val="default"/>
    <w:sig w:usb0="800002BF" w:usb1="38CF7CFA" w:usb2="00000016" w:usb3="00000000" w:csb0="00040001" w:csb1="00000000"/>
    <w:embedRegular r:id="rId2" w:fontKey="{7986472A-EDBC-451A-B291-767EEA928D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D34E22A-87BE-4213-9E45-0E592DBDEF52}"/>
  </w:font>
  <w:font w:name="Cambria">
    <w:panose1 w:val="02040503050406030204"/>
    <w:charset w:val="00"/>
    <w:family w:val="roman"/>
    <w:pitch w:val="default"/>
    <w:sig w:usb0="E00006FF" w:usb1="420024FF" w:usb2="02000000" w:usb3="00000000" w:csb0="2000019F" w:csb1="00000000"/>
    <w:embedRegular r:id="rId4" w:fontKey="{ED5D997C-9246-4924-BB6F-577D757F23C7}"/>
  </w:font>
  <w:font w:name="楷体">
    <w:panose1 w:val="02010609060101010101"/>
    <w:charset w:val="86"/>
    <w:family w:val="modern"/>
    <w:pitch w:val="default"/>
    <w:sig w:usb0="800002BF" w:usb1="38CF7CFA" w:usb2="00000016" w:usb3="00000000" w:csb0="00040001" w:csb1="00000000"/>
    <w:embedRegular r:id="rId5" w:fontKey="{15508CBD-358A-4FD4-8F37-3B7AC983AD10}"/>
  </w:font>
  <w:font w:name="仿宋_GB2312">
    <w:panose1 w:val="02010609030101010101"/>
    <w:charset w:val="86"/>
    <w:family w:val="modern"/>
    <w:pitch w:val="default"/>
    <w:sig w:usb0="00000001" w:usb1="080E0000" w:usb2="00000000" w:usb3="00000000" w:csb0="00040000" w:csb1="00000000"/>
    <w:embedRegular r:id="rId6" w:fontKey="{428BB367-001D-48AD-B7F3-AA84FD3EF990}"/>
  </w:font>
  <w:font w:name="ArialUnicodeMS">
    <w:altName w:val="Malgun Gothic"/>
    <w:panose1 w:val="00000000000000000000"/>
    <w:charset w:val="81"/>
    <w:family w:val="auto"/>
    <w:pitch w:val="default"/>
    <w:sig w:usb0="00000000" w:usb1="00000000" w:usb2="00000010" w:usb3="00000000" w:csb0="00080001" w:csb1="00000000"/>
    <w:embedRegular r:id="rId7" w:fontKey="{0FAC34FB-0C48-4C51-9F4E-C88BEBF4D179}"/>
  </w:font>
  <w:font w:name="MS-UIGothic,Bold">
    <w:altName w:val="Malgun Gothic"/>
    <w:panose1 w:val="00000000000000000000"/>
    <w:charset w:val="81"/>
    <w:family w:val="auto"/>
    <w:pitch w:val="default"/>
    <w:sig w:usb0="00000000" w:usb1="00000000" w:usb2="00000010" w:usb3="00000000" w:csb0="00080000" w:csb1="00000000"/>
    <w:embedRegular r:id="rId8" w:fontKey="{A6B45BA5-F682-4DF4-BB3C-CE7516BE1A90}"/>
  </w:font>
  <w:font w:name="DengXian-Regular">
    <w:altName w:val="宋体"/>
    <w:panose1 w:val="00000000000000000000"/>
    <w:charset w:val="86"/>
    <w:family w:val="auto"/>
    <w:pitch w:val="default"/>
    <w:sig w:usb0="00000000" w:usb1="00000000" w:usb2="00000010" w:usb3="00000000" w:csb0="00040001" w:csb1="00000000"/>
    <w:embedRegular r:id="rId9" w:fontKey="{25CFBFB3-D96A-42D9-BDDD-FC7223EEFDF3}"/>
  </w:font>
  <w:font w:name="楷体_GB2312">
    <w:altName w:val="楷体"/>
    <w:panose1 w:val="00000000000000000000"/>
    <w:charset w:val="86"/>
    <w:family w:val="modern"/>
    <w:pitch w:val="default"/>
    <w:sig w:usb0="00000000" w:usb1="00000000" w:usb2="00000010" w:usb3="00000000" w:csb0="00040000" w:csb1="00000000"/>
    <w:embedRegular r:id="rId10" w:fontKey="{8F7FDCF1-E101-4F34-AFC1-A1664A870F9E}"/>
  </w:font>
  <w:font w:name="DengXian-Bold">
    <w:altName w:val="宋体"/>
    <w:panose1 w:val="00000000000000000000"/>
    <w:charset w:val="86"/>
    <w:family w:val="auto"/>
    <w:pitch w:val="default"/>
    <w:sig w:usb0="00000000" w:usb1="00000000" w:usb2="00000010" w:usb3="00000000" w:csb0="00040001" w:csb1="00000000"/>
    <w:embedRegular r:id="rId11" w:fontKey="{91ED0955-C60A-45E7-BB3B-D700F2658FD1}"/>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EDA6E"/>
    <w:multiLevelType w:val="singleLevel"/>
    <w:tmpl w:val="1F3EDA6E"/>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57F1D"/>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34042"/>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1430F4C"/>
    <w:rsid w:val="016E25A5"/>
    <w:rsid w:val="02E84B87"/>
    <w:rsid w:val="03387179"/>
    <w:rsid w:val="03644E04"/>
    <w:rsid w:val="038D034E"/>
    <w:rsid w:val="04073F84"/>
    <w:rsid w:val="04746AEA"/>
    <w:rsid w:val="048802AA"/>
    <w:rsid w:val="05337CA7"/>
    <w:rsid w:val="05CB1538"/>
    <w:rsid w:val="06936403"/>
    <w:rsid w:val="069D4F7C"/>
    <w:rsid w:val="06C377A9"/>
    <w:rsid w:val="06D57C5E"/>
    <w:rsid w:val="07204859"/>
    <w:rsid w:val="08AC0C2F"/>
    <w:rsid w:val="08D379A5"/>
    <w:rsid w:val="092E43A1"/>
    <w:rsid w:val="095F38DF"/>
    <w:rsid w:val="09A46A3C"/>
    <w:rsid w:val="0A9F732D"/>
    <w:rsid w:val="0B5310BF"/>
    <w:rsid w:val="0B60750A"/>
    <w:rsid w:val="0B8D568F"/>
    <w:rsid w:val="0C267241"/>
    <w:rsid w:val="0C3246D7"/>
    <w:rsid w:val="0C546823"/>
    <w:rsid w:val="0C9E368D"/>
    <w:rsid w:val="0E186309"/>
    <w:rsid w:val="0E395E58"/>
    <w:rsid w:val="0EB606F2"/>
    <w:rsid w:val="0FA43DBA"/>
    <w:rsid w:val="0FC87C5C"/>
    <w:rsid w:val="0FE1306F"/>
    <w:rsid w:val="102B13E9"/>
    <w:rsid w:val="103716C6"/>
    <w:rsid w:val="10686488"/>
    <w:rsid w:val="10DF728A"/>
    <w:rsid w:val="11B97681"/>
    <w:rsid w:val="1264200E"/>
    <w:rsid w:val="129B0E8E"/>
    <w:rsid w:val="13346BBA"/>
    <w:rsid w:val="1336445F"/>
    <w:rsid w:val="137B467D"/>
    <w:rsid w:val="138D14A8"/>
    <w:rsid w:val="139D4327"/>
    <w:rsid w:val="141C5B77"/>
    <w:rsid w:val="142F1EDE"/>
    <w:rsid w:val="143938F3"/>
    <w:rsid w:val="14E37F88"/>
    <w:rsid w:val="153C4BEC"/>
    <w:rsid w:val="15A70989"/>
    <w:rsid w:val="1669122E"/>
    <w:rsid w:val="16D32D35"/>
    <w:rsid w:val="173129DD"/>
    <w:rsid w:val="17702BBA"/>
    <w:rsid w:val="177E3C6F"/>
    <w:rsid w:val="17EB6223"/>
    <w:rsid w:val="187D3F3E"/>
    <w:rsid w:val="189A3C41"/>
    <w:rsid w:val="18D8339D"/>
    <w:rsid w:val="19262A8D"/>
    <w:rsid w:val="199D3902"/>
    <w:rsid w:val="19C25E19"/>
    <w:rsid w:val="1A21388F"/>
    <w:rsid w:val="1A3B246E"/>
    <w:rsid w:val="1A570D2F"/>
    <w:rsid w:val="1A5855BC"/>
    <w:rsid w:val="1AA46D65"/>
    <w:rsid w:val="1BBA35F7"/>
    <w:rsid w:val="1C2B074E"/>
    <w:rsid w:val="1C561D94"/>
    <w:rsid w:val="1D02360C"/>
    <w:rsid w:val="1D537D0A"/>
    <w:rsid w:val="1D675F8F"/>
    <w:rsid w:val="1DE41C99"/>
    <w:rsid w:val="1E7756BD"/>
    <w:rsid w:val="1E9515F8"/>
    <w:rsid w:val="1E9C003F"/>
    <w:rsid w:val="1EB27E75"/>
    <w:rsid w:val="1EDF1301"/>
    <w:rsid w:val="1F581210"/>
    <w:rsid w:val="1F9F0BD6"/>
    <w:rsid w:val="203C06C8"/>
    <w:rsid w:val="20444A89"/>
    <w:rsid w:val="210B762D"/>
    <w:rsid w:val="216C0E29"/>
    <w:rsid w:val="21AB11F2"/>
    <w:rsid w:val="21C21A40"/>
    <w:rsid w:val="2237061A"/>
    <w:rsid w:val="22542178"/>
    <w:rsid w:val="22EF6DC0"/>
    <w:rsid w:val="23622FCA"/>
    <w:rsid w:val="23A92AFF"/>
    <w:rsid w:val="24077F55"/>
    <w:rsid w:val="24304C83"/>
    <w:rsid w:val="24487E58"/>
    <w:rsid w:val="25C14964"/>
    <w:rsid w:val="25EF368A"/>
    <w:rsid w:val="271D6F1F"/>
    <w:rsid w:val="27361904"/>
    <w:rsid w:val="277A62E9"/>
    <w:rsid w:val="27E54336"/>
    <w:rsid w:val="28FB0B8D"/>
    <w:rsid w:val="29B23823"/>
    <w:rsid w:val="29BA0FF8"/>
    <w:rsid w:val="29EF41FD"/>
    <w:rsid w:val="2A4B255E"/>
    <w:rsid w:val="2AAB7EC3"/>
    <w:rsid w:val="2B795438"/>
    <w:rsid w:val="2B853126"/>
    <w:rsid w:val="2C3D1F36"/>
    <w:rsid w:val="2C9001AD"/>
    <w:rsid w:val="2CE86555"/>
    <w:rsid w:val="2D185E02"/>
    <w:rsid w:val="2D2B7942"/>
    <w:rsid w:val="2D46481D"/>
    <w:rsid w:val="2D710E08"/>
    <w:rsid w:val="2DB9258C"/>
    <w:rsid w:val="2E584A79"/>
    <w:rsid w:val="2E6E4AD6"/>
    <w:rsid w:val="2E733B28"/>
    <w:rsid w:val="2F264190"/>
    <w:rsid w:val="2F6A4354"/>
    <w:rsid w:val="301416EC"/>
    <w:rsid w:val="30C87116"/>
    <w:rsid w:val="315D6F32"/>
    <w:rsid w:val="31852B5A"/>
    <w:rsid w:val="31AC5B18"/>
    <w:rsid w:val="32117D4A"/>
    <w:rsid w:val="323F4061"/>
    <w:rsid w:val="328579F6"/>
    <w:rsid w:val="32D01238"/>
    <w:rsid w:val="33045912"/>
    <w:rsid w:val="33277D0D"/>
    <w:rsid w:val="334B70A8"/>
    <w:rsid w:val="3376170E"/>
    <w:rsid w:val="344C6515"/>
    <w:rsid w:val="34597DFB"/>
    <w:rsid w:val="34A57366"/>
    <w:rsid w:val="34AA2684"/>
    <w:rsid w:val="34E62504"/>
    <w:rsid w:val="355E23D3"/>
    <w:rsid w:val="35843E7B"/>
    <w:rsid w:val="360973FF"/>
    <w:rsid w:val="36886CE1"/>
    <w:rsid w:val="36A2264A"/>
    <w:rsid w:val="36B660A1"/>
    <w:rsid w:val="37027C9B"/>
    <w:rsid w:val="37291354"/>
    <w:rsid w:val="385F21CA"/>
    <w:rsid w:val="388526C1"/>
    <w:rsid w:val="3890512E"/>
    <w:rsid w:val="38BE202D"/>
    <w:rsid w:val="3AE376DB"/>
    <w:rsid w:val="3AE50F0F"/>
    <w:rsid w:val="3B60127E"/>
    <w:rsid w:val="3B8B28D9"/>
    <w:rsid w:val="3BA400EA"/>
    <w:rsid w:val="3C0C70FA"/>
    <w:rsid w:val="3C6F467A"/>
    <w:rsid w:val="3CA03939"/>
    <w:rsid w:val="3CE504F5"/>
    <w:rsid w:val="3CF54102"/>
    <w:rsid w:val="3CF76A2B"/>
    <w:rsid w:val="3D03658D"/>
    <w:rsid w:val="3D253D54"/>
    <w:rsid w:val="3DFC59A8"/>
    <w:rsid w:val="3E8530AA"/>
    <w:rsid w:val="3EA73A5D"/>
    <w:rsid w:val="3EBF63CC"/>
    <w:rsid w:val="3ECF245E"/>
    <w:rsid w:val="3F451B85"/>
    <w:rsid w:val="3FB96314"/>
    <w:rsid w:val="40894059"/>
    <w:rsid w:val="415023AD"/>
    <w:rsid w:val="418D5AC1"/>
    <w:rsid w:val="41A73F37"/>
    <w:rsid w:val="41AD5521"/>
    <w:rsid w:val="434D63F9"/>
    <w:rsid w:val="43AE5290"/>
    <w:rsid w:val="43F5665F"/>
    <w:rsid w:val="445022E5"/>
    <w:rsid w:val="447452A2"/>
    <w:rsid w:val="45591C2A"/>
    <w:rsid w:val="46B90A66"/>
    <w:rsid w:val="4758478E"/>
    <w:rsid w:val="47C109FD"/>
    <w:rsid w:val="4A6A7F31"/>
    <w:rsid w:val="4AE667DA"/>
    <w:rsid w:val="4AFC0A77"/>
    <w:rsid w:val="4B0B515A"/>
    <w:rsid w:val="4B876151"/>
    <w:rsid w:val="4BD36CA6"/>
    <w:rsid w:val="4C3C5AE1"/>
    <w:rsid w:val="4CBA0540"/>
    <w:rsid w:val="4CE011C2"/>
    <w:rsid w:val="4CF61918"/>
    <w:rsid w:val="4D7A44B3"/>
    <w:rsid w:val="4D816977"/>
    <w:rsid w:val="4E202565"/>
    <w:rsid w:val="4EB020BF"/>
    <w:rsid w:val="4EE13F23"/>
    <w:rsid w:val="4F352A1A"/>
    <w:rsid w:val="4F38788F"/>
    <w:rsid w:val="4F435109"/>
    <w:rsid w:val="4FCC114D"/>
    <w:rsid w:val="505B02B5"/>
    <w:rsid w:val="506555DE"/>
    <w:rsid w:val="509F7E0A"/>
    <w:rsid w:val="50D527E7"/>
    <w:rsid w:val="51477CA8"/>
    <w:rsid w:val="518A3AB7"/>
    <w:rsid w:val="518D3365"/>
    <w:rsid w:val="5350535D"/>
    <w:rsid w:val="539D29DB"/>
    <w:rsid w:val="53A44FAF"/>
    <w:rsid w:val="53F30B2C"/>
    <w:rsid w:val="541C0E06"/>
    <w:rsid w:val="548661E1"/>
    <w:rsid w:val="54FE3C3A"/>
    <w:rsid w:val="5526178A"/>
    <w:rsid w:val="561173AC"/>
    <w:rsid w:val="56B355CE"/>
    <w:rsid w:val="573B1D24"/>
    <w:rsid w:val="57861B14"/>
    <w:rsid w:val="58056DC1"/>
    <w:rsid w:val="580B41E6"/>
    <w:rsid w:val="580B73AC"/>
    <w:rsid w:val="58161484"/>
    <w:rsid w:val="58193146"/>
    <w:rsid w:val="582E3050"/>
    <w:rsid w:val="594329EC"/>
    <w:rsid w:val="59A54431"/>
    <w:rsid w:val="5B106B05"/>
    <w:rsid w:val="5B4C6BD2"/>
    <w:rsid w:val="5B53642E"/>
    <w:rsid w:val="5B5E59B2"/>
    <w:rsid w:val="5B767CEE"/>
    <w:rsid w:val="5BEE1540"/>
    <w:rsid w:val="5C44682E"/>
    <w:rsid w:val="5C6F3CBA"/>
    <w:rsid w:val="5C846C56"/>
    <w:rsid w:val="5D7174E4"/>
    <w:rsid w:val="5D792672"/>
    <w:rsid w:val="5DD0150B"/>
    <w:rsid w:val="5DD77803"/>
    <w:rsid w:val="5DD853D7"/>
    <w:rsid w:val="5DE61A5D"/>
    <w:rsid w:val="5E316EAE"/>
    <w:rsid w:val="5FC07789"/>
    <w:rsid w:val="605F7F85"/>
    <w:rsid w:val="620368AD"/>
    <w:rsid w:val="62B02E7C"/>
    <w:rsid w:val="62F636DE"/>
    <w:rsid w:val="63C04243"/>
    <w:rsid w:val="64367A0E"/>
    <w:rsid w:val="649C01C7"/>
    <w:rsid w:val="649F3508"/>
    <w:rsid w:val="64BB4101"/>
    <w:rsid w:val="65FE0D61"/>
    <w:rsid w:val="65FF2FAA"/>
    <w:rsid w:val="67881EF0"/>
    <w:rsid w:val="67AB6CF7"/>
    <w:rsid w:val="67B02C13"/>
    <w:rsid w:val="6820214F"/>
    <w:rsid w:val="699A3F60"/>
    <w:rsid w:val="69C215E2"/>
    <w:rsid w:val="6A0C0494"/>
    <w:rsid w:val="6A5E62A8"/>
    <w:rsid w:val="6B27563A"/>
    <w:rsid w:val="6C073527"/>
    <w:rsid w:val="6C2272F5"/>
    <w:rsid w:val="6C5D2CAE"/>
    <w:rsid w:val="6CE06B05"/>
    <w:rsid w:val="6E2F48FC"/>
    <w:rsid w:val="6EBF6183"/>
    <w:rsid w:val="6ED44DAF"/>
    <w:rsid w:val="6F123596"/>
    <w:rsid w:val="70085042"/>
    <w:rsid w:val="70257326"/>
    <w:rsid w:val="70D1159E"/>
    <w:rsid w:val="717021C9"/>
    <w:rsid w:val="71B517CF"/>
    <w:rsid w:val="71B6626A"/>
    <w:rsid w:val="728755E0"/>
    <w:rsid w:val="72902E62"/>
    <w:rsid w:val="734049CD"/>
    <w:rsid w:val="73C61104"/>
    <w:rsid w:val="74D373AA"/>
    <w:rsid w:val="76157997"/>
    <w:rsid w:val="77440223"/>
    <w:rsid w:val="775F699D"/>
    <w:rsid w:val="776452EA"/>
    <w:rsid w:val="78180392"/>
    <w:rsid w:val="784327AD"/>
    <w:rsid w:val="79390EAC"/>
    <w:rsid w:val="79A11706"/>
    <w:rsid w:val="7A336CC2"/>
    <w:rsid w:val="7A5E4C17"/>
    <w:rsid w:val="7B252AF0"/>
    <w:rsid w:val="7B446144"/>
    <w:rsid w:val="7BBD13DF"/>
    <w:rsid w:val="7BE07A2F"/>
    <w:rsid w:val="7C8847FC"/>
    <w:rsid w:val="7CAB3B1E"/>
    <w:rsid w:val="7D3251C5"/>
    <w:rsid w:val="7DC663B9"/>
    <w:rsid w:val="7DEF098C"/>
    <w:rsid w:val="7E2B1E52"/>
    <w:rsid w:val="7E8245C2"/>
    <w:rsid w:val="7E971753"/>
    <w:rsid w:val="7EAF1657"/>
    <w:rsid w:val="7F60132F"/>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Sheet1!#REF!</c:f>
              <c:strCache>
                <c:ptCount val="1"/>
                <c:pt idx="0">
                  <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Sheet1!#REF!</c:f>
              <c:numCache>
                <c:ptCount val="0"/>
              </c:numCache>
            </c:numRef>
          </c:cat>
          <c:val>
            <c:numRef>
              <c:f>Sheet1!#REF!</c:f>
              <c:numCache>
                <c:formatCode>General</c:formatCode>
                <c:ptCount val="1"/>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列1</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96</a:t>
                    </a:r>
                    <a:r>
                      <a:rPr lang="en-US" altLang="zh-CN"/>
                      <a:t>.49</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3.51</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192.25</c:v>
                </c:pt>
                <c:pt idx="1">
                  <c:v>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0"/>
        <c:ser>
          <c:idx val="0"/>
          <c:order val="0"/>
          <c:tx>
            <c:strRef>
              <c:f>Sheet1!$B$1</c:f>
              <c:strCache>
                <c:ptCount val="1"/>
                <c:pt idx="0">
                  <c:v>列1</c:v>
                </c:pt>
              </c:strCache>
            </c:strRef>
          </c:tx>
          <c:spPr>
            <a:solidFill>
              <a:schemeClr val="accent1"/>
            </a:solidFill>
            <a:ln>
              <a:noFill/>
            </a:ln>
            <a:effectLst>
              <a:outerShdw blurRad="254000" sx="102000" sy="102000" algn="ctr" rotWithShape="0">
                <a:prstClr val="black">
                  <a:alpha val="20000"/>
                </a:prstClr>
              </a:outerShdw>
            </a:effectLst>
          </c:spPr>
          <c:explosion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c:f>
              <c:strCache>
                <c:ptCount val="1"/>
                <c:pt idx="0">
                  <c:v>一般公共预算财政拨款</c:v>
                </c:pt>
              </c:strCache>
            </c:strRef>
          </c:cat>
          <c:val>
            <c:numRef>
              <c:f>Sheet1!$B$2</c:f>
              <c:numCache>
                <c:formatCode>General</c:formatCode>
                <c:ptCount val="1"/>
                <c:pt idx="0">
                  <c:v>201.21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   </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50.24</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49.76</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财政拨款收入决算</c:v>
                </c:pt>
                <c:pt idx="1">
                  <c:v>财政拨款支出决算</c:v>
                </c:pt>
              </c:strCache>
            </c:strRef>
          </c:cat>
          <c:val>
            <c:numRef>
              <c:f>Sheet1!$B$2:$B$3</c:f>
              <c:numCache>
                <c:formatCode>General</c:formatCode>
                <c:ptCount val="2"/>
                <c:pt idx="0">
                  <c:v>201.21</c:v>
                </c:pt>
                <c:pt idx="1">
                  <c:v>199.25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   </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a:solidFill>
                          <a:schemeClr val="tx1"/>
                        </a:solidFill>
                      </a:rPr>
                      <a:t>一般公共服务83</a:t>
                    </a:r>
                    <a:r>
                      <a:rPr lang="en-US" altLang="zh-CN">
                        <a:solidFill>
                          <a:schemeClr val="tx1"/>
                        </a:solidFill>
                      </a:rPr>
                      <a:t>.29</a:t>
                    </a:r>
                    <a:r>
                      <a:rPr>
                        <a:solidFill>
                          <a:schemeClr val="tx1"/>
                        </a:solidFill>
                      </a:rPr>
                      <a:t>%</a:t>
                    </a:r>
                    <a:endParaRPr>
                      <a:solidFill>
                        <a:schemeClr val="tx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9"/>
                  <c:y val="0.005"/>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solidFill>
                        <a:latin typeface="+mn-lt"/>
                        <a:ea typeface="+mn-ea"/>
                        <a:cs typeface="+mn-cs"/>
                      </a:defRPr>
                    </a:pPr>
                    <a:r>
                      <a:rPr>
                        <a:solidFill>
                          <a:schemeClr val="tx1"/>
                        </a:solidFill>
                      </a:rPr>
                      <a:t>社会保障和就业</a:t>
                    </a:r>
                    <a:endParaRPr>
                      <a:solidFill>
                        <a:schemeClr val="tx1"/>
                      </a:solidFill>
                    </a:endParaRPr>
                  </a:p>
                  <a:p>
                    <a:pPr defTabSz="914400">
                      <a:defRPr lang="zh-CN" sz="1000" b="1" i="0" u="none" strike="noStrike" kern="1200" spc="0" baseline="0">
                        <a:solidFill>
                          <a:schemeClr val="accent2"/>
                        </a:solidFill>
                        <a:latin typeface="+mn-lt"/>
                        <a:ea typeface="+mn-ea"/>
                        <a:cs typeface="+mn-cs"/>
                      </a:defRPr>
                    </a:pPr>
                    <a:r>
                      <a:rPr lang="en-US" altLang="zh-CN">
                        <a:solidFill>
                          <a:schemeClr val="tx1"/>
                        </a:solidFill>
                      </a:rPr>
                      <a:t>8.54</a:t>
                    </a:r>
                    <a:r>
                      <a:rPr>
                        <a:solidFill>
                          <a:schemeClr val="tx1"/>
                        </a:solidFill>
                      </a:rPr>
                      <a:t>%</a:t>
                    </a:r>
                    <a:endParaRPr>
                      <a:solidFill>
                        <a:schemeClr val="tx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1875"/>
                  <c:y val="-0.025"/>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3"/>
                        </a:solidFill>
                        <a:latin typeface="+mn-lt"/>
                        <a:ea typeface="+mn-ea"/>
                        <a:cs typeface="+mn-cs"/>
                      </a:defRPr>
                    </a:pPr>
                    <a:r>
                      <a:rPr>
                        <a:solidFill>
                          <a:schemeClr val="tx1"/>
                        </a:solidFill>
                      </a:rPr>
                      <a:t>医疗卫生与计划生育3</a:t>
                    </a:r>
                    <a:r>
                      <a:rPr lang="en-US" altLang="zh-CN">
                        <a:solidFill>
                          <a:schemeClr val="tx1"/>
                        </a:solidFill>
                      </a:rPr>
                      <a:t>.05</a:t>
                    </a:r>
                    <a:r>
                      <a:rPr>
                        <a:solidFill>
                          <a:schemeClr val="tx1"/>
                        </a:solidFill>
                      </a:rPr>
                      <a:t>%</a:t>
                    </a:r>
                    <a:endParaRPr>
                      <a:solidFill>
                        <a:schemeClr val="tx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4625"/>
                      <c:h val="0.141166666666667"/>
                    </c:manualLayout>
                  </c15:layout>
                </c:ext>
              </c:extLst>
            </c:dLbl>
            <c:dLbl>
              <c:idx val="3"/>
              <c:layout>
                <c:manualLayout>
                  <c:x val="0.125625"/>
                  <c:y val="-0.04"/>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4"/>
                        </a:solidFill>
                        <a:latin typeface="+mn-lt"/>
                        <a:ea typeface="+mn-ea"/>
                        <a:cs typeface="+mn-cs"/>
                      </a:defRPr>
                    </a:pPr>
                    <a:r>
                      <a:rPr>
                        <a:solidFill>
                          <a:schemeClr val="tx1"/>
                        </a:solidFill>
                      </a:rPr>
                      <a:t>住房保障</a:t>
                    </a:r>
                    <a:endParaRPr>
                      <a:solidFill>
                        <a:schemeClr val="tx1"/>
                      </a:solidFill>
                    </a:endParaRPr>
                  </a:p>
                  <a:p>
                    <a:pPr defTabSz="914400">
                      <a:defRPr lang="zh-CN" sz="1000" b="1" i="0" u="none" strike="noStrike" kern="1200" spc="0" baseline="0">
                        <a:solidFill>
                          <a:schemeClr val="accent4"/>
                        </a:solidFill>
                        <a:latin typeface="+mn-lt"/>
                        <a:ea typeface="+mn-ea"/>
                        <a:cs typeface="+mn-cs"/>
                      </a:defRPr>
                    </a:pPr>
                    <a:r>
                      <a:rPr lang="en-US" altLang="zh-CN">
                        <a:solidFill>
                          <a:schemeClr val="tx1"/>
                        </a:solidFill>
                      </a:rPr>
                      <a:t>5.12</a:t>
                    </a:r>
                    <a:r>
                      <a:rPr>
                        <a:solidFill>
                          <a:schemeClr val="tx1"/>
                        </a:solidFill>
                      </a:rPr>
                      <a:t>%</a:t>
                    </a:r>
                    <a:endParaRPr>
                      <a:solidFill>
                        <a:schemeClr val="tx1"/>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c:v>
                </c:pt>
                <c:pt idx="1">
                  <c:v>社会保障和就业</c:v>
                </c:pt>
                <c:pt idx="2">
                  <c:v>医疗卫生与计划生育</c:v>
                </c:pt>
                <c:pt idx="3">
                  <c:v>住房保障</c:v>
                </c:pt>
              </c:strCache>
            </c:strRef>
          </c:cat>
          <c:val>
            <c:numRef>
              <c:f>Sheet1!$B$2:$B$5</c:f>
              <c:numCache>
                <c:formatCode>General</c:formatCode>
                <c:ptCount val="4"/>
                <c:pt idx="0">
                  <c:v>165.96</c:v>
                </c:pt>
                <c:pt idx="1">
                  <c:v>17.01</c:v>
                </c:pt>
                <c:pt idx="2">
                  <c:v>6.08</c:v>
                </c:pt>
                <c:pt idx="3">
                  <c:v>10.2</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D59DA58-3CA2-4856-9A51-CD581AE1A7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3</TotalTime>
  <ScaleCrop>false</ScaleCrop>
  <LinksUpToDate>false</LinksUpToDate>
  <CharactersWithSpaces>11081</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DELL</cp:lastModifiedBy>
  <cp:lastPrinted>2019-09-27T00:42:00Z</cp:lastPrinted>
  <dcterms:modified xsi:type="dcterms:W3CDTF">2021-06-03T01:53:12Z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